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00326904"/>
    <w:p w14:paraId="0EAA118F" w14:textId="59D57963" w:rsidR="00D40AF8" w:rsidRPr="009B5B78" w:rsidRDefault="006B1498" w:rsidP="00D40AF8">
      <w:pPr>
        <w:pStyle w:val="Title"/>
      </w:pPr>
      <w:sdt>
        <w:sdtPr>
          <w:id w:val="-1916546243"/>
          <w:placeholder>
            <w:docPart w:val="93256ED383734F52B282817A28CF05A0"/>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2A02A7" w:rsidRPr="002A02A7">
            <w:t>Public consultation questionnaire on a potential legislative proposal on substantiating green claims</w:t>
          </w:r>
          <w:r w:rsidR="002A02A7">
            <w:br/>
          </w:r>
          <w:r w:rsidR="002A02A7">
            <w:br/>
          </w:r>
          <w:r w:rsidR="002A02A7" w:rsidRPr="002A02A7">
            <w:t>Background document</w:t>
          </w:r>
        </w:sdtContent>
      </w:sdt>
    </w:p>
    <w:p w14:paraId="4B9119D5" w14:textId="77777777" w:rsidR="00D40AF8" w:rsidRPr="009B5B78" w:rsidRDefault="00D40AF8" w:rsidP="00087EF1"/>
    <w:p w14:paraId="5FC32E41" w14:textId="51428576" w:rsidR="008F4FA1" w:rsidRPr="009B5B78" w:rsidRDefault="008F4FA1" w:rsidP="00E30208">
      <w:pPr>
        <w:pStyle w:val="Heading1"/>
      </w:pPr>
      <w:r w:rsidRPr="009B5B78">
        <w:t>The Environmental Footprint methods</w:t>
      </w:r>
    </w:p>
    <w:p w14:paraId="10424C25" w14:textId="607631E7" w:rsidR="008F4FA1" w:rsidRPr="009B5B78" w:rsidRDefault="00C04112" w:rsidP="008F4FA1">
      <w:pPr>
        <w:pStyle w:val="Text1"/>
      </w:pPr>
      <w:r w:rsidRPr="009B5B78">
        <w:t xml:space="preserve">The Product and Organisation Environmental </w:t>
      </w:r>
      <w:r w:rsidR="008F4FA1" w:rsidRPr="009B5B78">
        <w:t>Footprint (</w:t>
      </w:r>
      <w:r w:rsidRPr="009B5B78">
        <w:t>PEF/</w:t>
      </w:r>
      <w:r w:rsidR="008F4FA1" w:rsidRPr="009B5B78">
        <w:t>OEF) methods are annexed to the European Commission Recommendation on the use of common methods for measuring and communicating the life cycle environmental performance of products and organisations</w:t>
      </w:r>
      <w:r w:rsidR="008F4FA1" w:rsidRPr="009B5B78">
        <w:rPr>
          <w:rStyle w:val="FootnoteReference"/>
        </w:rPr>
        <w:footnoteReference w:id="2"/>
      </w:r>
      <w:r w:rsidR="008F4FA1" w:rsidRPr="009B5B78">
        <w:t xml:space="preserve">. </w:t>
      </w:r>
    </w:p>
    <w:p w14:paraId="0F8A626B" w14:textId="0D08C370" w:rsidR="008F4FA1" w:rsidRPr="009B5B78" w:rsidRDefault="008F4FA1" w:rsidP="008F4FA1">
      <w:pPr>
        <w:pStyle w:val="Text1"/>
      </w:pPr>
      <w:r w:rsidRPr="009B5B78">
        <w:t>PEF and OEF are Life Cycle Assessment methods</w:t>
      </w:r>
      <w:r w:rsidR="00E66295">
        <w:t xml:space="preserve">. Accordingly, </w:t>
      </w:r>
      <w:r w:rsidR="00FA3CF6" w:rsidRPr="009B5B78">
        <w:t>environmental</w:t>
      </w:r>
      <w:r w:rsidRPr="009B5B78">
        <w:t xml:space="preserve"> performance is calculated taking into consideration the environmental impacts throughout the value chain, from the extraction/ growing of resources to the end of life of the product or the product portfolio of an organisation, respectively. </w:t>
      </w:r>
      <w:r w:rsidR="00FA3CF6" w:rsidRPr="009B5B78">
        <w:t xml:space="preserve">The methods </w:t>
      </w:r>
      <w:r w:rsidR="00E93F29" w:rsidRPr="009B5B78">
        <w:t xml:space="preserve">allow </w:t>
      </w:r>
      <w:r w:rsidR="00E66295">
        <w:t xml:space="preserve">calculate </w:t>
      </w:r>
      <w:r w:rsidR="00E93F29" w:rsidRPr="009B5B78">
        <w:t>environmental impact</w:t>
      </w:r>
      <w:r w:rsidR="00E66295">
        <w:t>s</w:t>
      </w:r>
      <w:r w:rsidR="00E93F29" w:rsidRPr="009B5B78">
        <w:t xml:space="preserve"> through</w:t>
      </w:r>
      <w:r w:rsidRPr="009B5B78">
        <w:t xml:space="preserve"> 16 </w:t>
      </w:r>
      <w:r w:rsidR="00E93F29" w:rsidRPr="009B5B78">
        <w:t>“</w:t>
      </w:r>
      <w:r w:rsidRPr="009B5B78">
        <w:t>impact categories</w:t>
      </w:r>
      <w:r w:rsidR="00E93F29" w:rsidRPr="009B5B78">
        <w:t>”</w:t>
      </w:r>
      <w:r w:rsidR="00FD599E">
        <w:t>.</w:t>
      </w:r>
      <w:r w:rsidRPr="009B5B78">
        <w:t xml:space="preserve">: </w:t>
      </w:r>
    </w:p>
    <w:p w14:paraId="4AEE5A9E" w14:textId="637768D5" w:rsidR="008F4FA1" w:rsidRPr="009B5B78" w:rsidRDefault="008F4FA1" w:rsidP="008F4FA1">
      <w:pPr>
        <w:pStyle w:val="Text1"/>
      </w:pPr>
      <w:r w:rsidRPr="009B5B78">
        <w:t>Before considering developing a new method, the Commission carried out an in-depth analysis of the most widely applied methodologies</w:t>
      </w:r>
      <w:r w:rsidRPr="009B5B78">
        <w:rPr>
          <w:rStyle w:val="FootnoteReference"/>
        </w:rPr>
        <w:footnoteReference w:id="3"/>
      </w:r>
      <w:r w:rsidRPr="009B5B78">
        <w:rPr>
          <w:vertAlign w:val="superscript"/>
        </w:rPr>
        <w:t>,</w:t>
      </w:r>
      <w:r w:rsidRPr="009B5B78">
        <w:rPr>
          <w:rStyle w:val="FootnoteReference"/>
        </w:rPr>
        <w:footnoteReference w:id="4"/>
      </w:r>
      <w:r w:rsidRPr="009B5B78">
        <w:t xml:space="preserve">. The objective of this analysis was to assess </w:t>
      </w:r>
      <w:r w:rsidR="00142C9E" w:rsidRPr="009B5B78">
        <w:t xml:space="preserve">whether </w:t>
      </w:r>
      <w:r w:rsidRPr="009B5B78">
        <w:t>the existing methodologies are "good enough" to achieve a number of policy objectives, such as: improvement of resource efficiency along the value chain; definition of environmental performance benchmarking; improvement of design for environment; reproducibility of results; and comparison of environmental performances. The analysis</w:t>
      </w:r>
      <w:r w:rsidRPr="009B5B78">
        <w:rPr>
          <w:rStyle w:val="FootnoteReference"/>
        </w:rPr>
        <w:footnoteReference w:id="5"/>
      </w:r>
      <w:r w:rsidRPr="009B5B78">
        <w:t xml:space="preserve"> indicated that none of the existing methodologies could be used as such, and a</w:t>
      </w:r>
      <w:r w:rsidR="00F2561D" w:rsidRPr="009B5B78">
        <w:t xml:space="preserve"> need to fill some methodological gaps</w:t>
      </w:r>
      <w:r w:rsidRPr="009B5B78">
        <w:t>.</w:t>
      </w:r>
    </w:p>
    <w:p w14:paraId="40B74521" w14:textId="68121C2F" w:rsidR="006D54E9" w:rsidRDefault="008F4FA1" w:rsidP="008F4FA1">
      <w:pPr>
        <w:pStyle w:val="Text1"/>
        <w:rPr>
          <w:lang w:eastAsia="de-DE"/>
        </w:rPr>
      </w:pPr>
      <w:r w:rsidRPr="009B5B78">
        <w:t xml:space="preserve">The </w:t>
      </w:r>
      <w:r w:rsidR="009466EB" w:rsidRPr="009B5B78">
        <w:t>PEF an OEF</w:t>
      </w:r>
      <w:r w:rsidRPr="009B5B78">
        <w:t xml:space="preserve"> methods were developed by the European Commission’s Joint Research Centre</w:t>
      </w:r>
      <w:r w:rsidR="00FC5AE3" w:rsidRPr="009B5B78">
        <w:t xml:space="preserve"> (EC-JRC)</w:t>
      </w:r>
      <w:r w:rsidRPr="009B5B78">
        <w:t xml:space="preserve"> using existing methods and standards as a basis</w:t>
      </w:r>
      <w:r w:rsidRPr="009B5B78">
        <w:rPr>
          <w:rStyle w:val="FootnoteReference"/>
          <w:lang w:eastAsia="x-none"/>
        </w:rPr>
        <w:footnoteReference w:id="6"/>
      </w:r>
      <w:r w:rsidR="007A0BEB">
        <w:t xml:space="preserve"> and </w:t>
      </w:r>
      <w:r w:rsidR="007A0BEB">
        <w:lastRenderedPageBreak/>
        <w:t>then were further improved during the Environmental Footprint pilot phase (see below)</w:t>
      </w:r>
      <w:r w:rsidRPr="009B5B78">
        <w:t xml:space="preserve">. </w:t>
      </w:r>
      <w:r w:rsidRPr="009B5B78">
        <w:rPr>
          <w:lang w:eastAsia="de-DE"/>
        </w:rPr>
        <w:t xml:space="preserve">One important new feature of </w:t>
      </w:r>
      <w:r w:rsidR="00E66295">
        <w:rPr>
          <w:lang w:eastAsia="de-DE"/>
        </w:rPr>
        <w:t xml:space="preserve">the methods </w:t>
      </w:r>
      <w:r w:rsidRPr="009B5B78">
        <w:rPr>
          <w:lang w:eastAsia="de-DE"/>
        </w:rPr>
        <w:t>is that they enable the possibility of comparing the environmental performance of products. This feature require</w:t>
      </w:r>
      <w:r w:rsidR="00C06FE0" w:rsidRPr="009B5B78">
        <w:rPr>
          <w:lang w:eastAsia="de-DE"/>
        </w:rPr>
        <w:t>s</w:t>
      </w:r>
      <w:r w:rsidRPr="009B5B78">
        <w:rPr>
          <w:lang w:eastAsia="de-DE"/>
        </w:rPr>
        <w:t xml:space="preserve"> the development of </w:t>
      </w:r>
      <w:r w:rsidR="009466EB" w:rsidRPr="009B5B78">
        <w:rPr>
          <w:lang w:eastAsia="de-DE"/>
        </w:rPr>
        <w:t xml:space="preserve">rules specific </w:t>
      </w:r>
      <w:r w:rsidR="006D54E9">
        <w:rPr>
          <w:lang w:eastAsia="de-DE"/>
        </w:rPr>
        <w:t>to</w:t>
      </w:r>
      <w:r w:rsidR="009466EB" w:rsidRPr="009B5B78">
        <w:rPr>
          <w:lang w:eastAsia="de-DE"/>
        </w:rPr>
        <w:t xml:space="preserve"> each </w:t>
      </w:r>
      <w:r w:rsidRPr="009B5B78">
        <w:rPr>
          <w:lang w:eastAsia="de-DE"/>
        </w:rPr>
        <w:t xml:space="preserve">product category, called Product Environmental Footprint Category Rules (PEFCRs) and of sector-specific rules, called Organisation Environmental Footprint Sector Rules (OEFSRs). </w:t>
      </w:r>
    </w:p>
    <w:p w14:paraId="1F002293" w14:textId="77777777" w:rsidR="00FC36CB" w:rsidRPr="00F0229C" w:rsidRDefault="00FC36CB" w:rsidP="00FC36CB">
      <w:pPr>
        <w:pStyle w:val="Text1"/>
        <w:rPr>
          <w:lang w:val="en-IE"/>
        </w:rPr>
      </w:pPr>
      <w:r w:rsidRPr="00F0229C">
        <w:rPr>
          <w:lang w:val="en-IE"/>
        </w:rPr>
        <w:t>A calculation based on the PEF/ OEF methods gives quantitative information on the performance of the product or organisation. This result is not comparable to results of other products/ companies (for instance, product X has a lower impact than product Y)</w:t>
      </w:r>
      <w:r>
        <w:rPr>
          <w:lang w:val="en-IE"/>
        </w:rPr>
        <w:t xml:space="preserve">. This </w:t>
      </w:r>
      <w:r w:rsidRPr="00F0229C">
        <w:rPr>
          <w:lang w:val="en-IE"/>
        </w:rPr>
        <w:t>is due to the fact that the PEF/ OEF methods leave some methodological and data choices to the user. These choices are available in order to enable the application of the PEF</w:t>
      </w:r>
      <w:r>
        <w:rPr>
          <w:lang w:val="en-IE"/>
        </w:rPr>
        <w:t>/ OEF methods to any product or organisation</w:t>
      </w:r>
      <w:r w:rsidRPr="00F0229C">
        <w:rPr>
          <w:lang w:val="en-IE"/>
        </w:rPr>
        <w:t xml:space="preserve">.  </w:t>
      </w:r>
    </w:p>
    <w:p w14:paraId="100A3AC9" w14:textId="77777777" w:rsidR="00FC36CB" w:rsidRPr="00F0229C" w:rsidRDefault="00FC36CB" w:rsidP="00FC36CB">
      <w:pPr>
        <w:pStyle w:val="Text1"/>
        <w:rPr>
          <w:lang w:val="en-IE"/>
        </w:rPr>
      </w:pPr>
      <w:r w:rsidRPr="00F0229C">
        <w:rPr>
          <w:lang w:val="en-IE"/>
        </w:rPr>
        <w:t>Product Environmental Footprint Category Rules (PEFCRs) define a benchmark, which corresponds to the environmental performance of the average product on the EU market. The benchmark is defined per environmental impact and</w:t>
      </w:r>
      <w:r>
        <w:rPr>
          <w:lang w:val="en-IE"/>
        </w:rPr>
        <w:t xml:space="preserve"> for environmental overall performance</w:t>
      </w:r>
      <w:r w:rsidRPr="00F0229C">
        <w:rPr>
          <w:lang w:val="en-IE"/>
        </w:rPr>
        <w:t xml:space="preserve"> </w:t>
      </w:r>
      <w:r>
        <w:rPr>
          <w:lang w:val="en-IE"/>
        </w:rPr>
        <w:t>(</w:t>
      </w:r>
      <w:r w:rsidRPr="00F0229C">
        <w:rPr>
          <w:lang w:val="en-IE"/>
        </w:rPr>
        <w:t>single score</w:t>
      </w:r>
      <w:r>
        <w:rPr>
          <w:lang w:val="en-IE"/>
        </w:rPr>
        <w:t>)</w:t>
      </w:r>
      <w:r w:rsidRPr="00F0229C">
        <w:rPr>
          <w:lang w:val="en-IE"/>
        </w:rPr>
        <w:t xml:space="preserve">. In this case, it is possible to compare the performance of a specific product to the benchmark of the same product category. PEFCRs also identify which are the most relevant environmental impacts, life cycle stages (e.g. manufacturing or use) and processes (e.g. </w:t>
      </w:r>
      <w:r>
        <w:rPr>
          <w:lang w:val="en-IE"/>
        </w:rPr>
        <w:t>production of ingredients – wheat grain</w:t>
      </w:r>
      <w:r w:rsidRPr="00F0229C">
        <w:rPr>
          <w:lang w:val="en-IE"/>
        </w:rPr>
        <w:t xml:space="preserve">) for the product category. </w:t>
      </w:r>
    </w:p>
    <w:p w14:paraId="737DFD25" w14:textId="2646BF53" w:rsidR="00FC36CB" w:rsidRDefault="00FC36CB" w:rsidP="00FC36CB">
      <w:pPr>
        <w:pStyle w:val="Text1"/>
        <w:rPr>
          <w:lang w:val="en-IE"/>
        </w:rPr>
      </w:pPr>
      <w:r w:rsidRPr="00F0229C">
        <w:rPr>
          <w:lang w:val="en-IE"/>
        </w:rPr>
        <w:t>Similarly, OEFSRs identify the most relevant environmental impacts, life cycle stages (e.g. manufacturing or use) and processes (e.g. smelting) for the product portfolio of the organisation. OEFSRs currently do not contain benchmarks, but may define comparable indicators (e.g. results divided per total revenue).</w:t>
      </w:r>
    </w:p>
    <w:p w14:paraId="35173EA2" w14:textId="7AB4994A" w:rsidR="008F4FA1" w:rsidRDefault="006D54E9" w:rsidP="008F4FA1">
      <w:pPr>
        <w:pStyle w:val="Text1"/>
        <w:rPr>
          <w:lang w:eastAsia="de-DE"/>
        </w:rPr>
      </w:pPr>
      <w:r>
        <w:rPr>
          <w:lang w:eastAsia="de-DE"/>
        </w:rPr>
        <w:t xml:space="preserve">The development of PEFCRs and OEFSRs </w:t>
      </w:r>
      <w:r w:rsidR="008F4FA1" w:rsidRPr="009B5B78">
        <w:rPr>
          <w:lang w:eastAsia="de-DE"/>
        </w:rPr>
        <w:t xml:space="preserve">was </w:t>
      </w:r>
      <w:r>
        <w:rPr>
          <w:lang w:eastAsia="de-DE"/>
        </w:rPr>
        <w:t xml:space="preserve">tested during </w:t>
      </w:r>
      <w:r w:rsidR="008F4FA1" w:rsidRPr="009B5B78">
        <w:rPr>
          <w:lang w:eastAsia="de-DE"/>
        </w:rPr>
        <w:t xml:space="preserve">the Environmental Footprint pilot phase, alongside other developments needed to reach the full potential of the methods. </w:t>
      </w:r>
      <w:r>
        <w:rPr>
          <w:lang w:eastAsia="de-DE"/>
        </w:rPr>
        <w:t>Improvements</w:t>
      </w:r>
      <w:r w:rsidR="00F3382E">
        <w:rPr>
          <w:lang w:eastAsia="de-DE"/>
        </w:rPr>
        <w:t xml:space="preserve"> i</w:t>
      </w:r>
      <w:r w:rsidR="008F4FA1" w:rsidRPr="009B5B78">
        <w:rPr>
          <w:lang w:eastAsia="de-DE"/>
        </w:rPr>
        <w:t>nclude</w:t>
      </w:r>
      <w:r w:rsidR="00653294" w:rsidRPr="009B5B78">
        <w:rPr>
          <w:lang w:eastAsia="de-DE"/>
        </w:rPr>
        <w:t>d</w:t>
      </w:r>
      <w:r w:rsidR="008F4FA1" w:rsidRPr="009B5B78">
        <w:rPr>
          <w:lang w:eastAsia="de-DE"/>
        </w:rPr>
        <w:t xml:space="preserve"> the improved availability of </w:t>
      </w:r>
      <w:r w:rsidR="00653294" w:rsidRPr="009B5B78">
        <w:rPr>
          <w:lang w:eastAsia="de-DE"/>
        </w:rPr>
        <w:t xml:space="preserve">high </w:t>
      </w:r>
      <w:r w:rsidR="008F4FA1" w:rsidRPr="009B5B78">
        <w:rPr>
          <w:lang w:eastAsia="de-DE"/>
        </w:rPr>
        <w:t xml:space="preserve">quality life cycle data; setting-up a </w:t>
      </w:r>
      <w:r w:rsidR="00653294" w:rsidRPr="009B5B78">
        <w:rPr>
          <w:lang w:eastAsia="de-DE"/>
        </w:rPr>
        <w:t>cost-effective</w:t>
      </w:r>
      <w:r>
        <w:rPr>
          <w:lang w:eastAsia="de-DE"/>
        </w:rPr>
        <w:t>,</w:t>
      </w:r>
      <w:r w:rsidR="00653294" w:rsidRPr="009B5B78">
        <w:rPr>
          <w:lang w:eastAsia="de-DE"/>
        </w:rPr>
        <w:t xml:space="preserve"> standardised </w:t>
      </w:r>
      <w:r w:rsidR="008F4FA1" w:rsidRPr="009B5B78">
        <w:rPr>
          <w:lang w:eastAsia="de-DE"/>
        </w:rPr>
        <w:t>verification system</w:t>
      </w:r>
      <w:r w:rsidR="00653294" w:rsidRPr="009B5B78">
        <w:rPr>
          <w:lang w:eastAsia="de-DE"/>
        </w:rPr>
        <w:t>,</w:t>
      </w:r>
      <w:r w:rsidR="008F4FA1" w:rsidRPr="009B5B78">
        <w:rPr>
          <w:lang w:eastAsia="de-DE"/>
        </w:rPr>
        <w:t xml:space="preserve"> and </w:t>
      </w:r>
      <w:r w:rsidR="00653294" w:rsidRPr="009B5B78">
        <w:rPr>
          <w:lang w:eastAsia="de-DE"/>
        </w:rPr>
        <w:t xml:space="preserve">a transparent </w:t>
      </w:r>
      <w:r w:rsidR="008F4FA1" w:rsidRPr="009B5B78">
        <w:rPr>
          <w:lang w:eastAsia="de-DE"/>
        </w:rPr>
        <w:t>normalisation and weighting system.</w:t>
      </w:r>
    </w:p>
    <w:p w14:paraId="4E2B0394" w14:textId="4644FDA3" w:rsidR="00E30208" w:rsidRPr="009B5B78" w:rsidRDefault="00E30208" w:rsidP="00E30208">
      <w:pPr>
        <w:pStyle w:val="Heading1"/>
      </w:pPr>
      <w:r w:rsidRPr="009B5B78">
        <w:t>The Environmental Footprint pilot phase</w:t>
      </w:r>
    </w:p>
    <w:p w14:paraId="63353229" w14:textId="6AA7BD59" w:rsidR="00E30208" w:rsidRPr="009B5B78" w:rsidRDefault="00E30208" w:rsidP="00E30208">
      <w:pPr>
        <w:pStyle w:val="Text1"/>
      </w:pPr>
      <w:r w:rsidRPr="009B5B78">
        <w:t>In November 2013, the Commission, started a pilot phase through an open call for volunteering stakeholders from within and outside of the EU. The pilot phase had the following main objectives:</w:t>
      </w:r>
    </w:p>
    <w:p w14:paraId="0AD2303B" w14:textId="5ACA14AC" w:rsidR="00E30208" w:rsidRPr="009B5B78" w:rsidRDefault="00E30208" w:rsidP="00E30208">
      <w:pPr>
        <w:pStyle w:val="ListParagraph"/>
        <w:numPr>
          <w:ilvl w:val="0"/>
          <w:numId w:val="28"/>
        </w:numPr>
        <w:tabs>
          <w:tab w:val="left" w:pos="993"/>
        </w:tabs>
        <w:ind w:left="993" w:hanging="426"/>
      </w:pPr>
      <w:r w:rsidRPr="009B5B78">
        <w:t xml:space="preserve">To test the implementation of the </w:t>
      </w:r>
      <w:r w:rsidR="00F64625" w:rsidRPr="009B5B78">
        <w:t>Product and Organisation Environmental Footprint (PEF/ OEF)</w:t>
      </w:r>
      <w:r w:rsidRPr="009B5B78">
        <w:t xml:space="preserve"> methods adopted in 2013 into </w:t>
      </w:r>
      <w:r w:rsidR="00F64625" w:rsidRPr="009B5B78">
        <w:t>category rules</w:t>
      </w:r>
      <w:r w:rsidRPr="009B5B78">
        <w:t xml:space="preserve"> and </w:t>
      </w:r>
      <w:r w:rsidR="00F64625" w:rsidRPr="009B5B78">
        <w:t>sector rules</w:t>
      </w:r>
      <w:r w:rsidRPr="009B5B78">
        <w:t xml:space="preserve"> (respectively called PEFCRs, and OEFSRs).</w:t>
      </w:r>
    </w:p>
    <w:p w14:paraId="3C90F909" w14:textId="63D34760" w:rsidR="00E30208" w:rsidRPr="009B5B78" w:rsidRDefault="00E30208" w:rsidP="00E30208">
      <w:pPr>
        <w:pStyle w:val="ListParagraph"/>
        <w:numPr>
          <w:ilvl w:val="0"/>
          <w:numId w:val="28"/>
        </w:numPr>
        <w:tabs>
          <w:tab w:val="left" w:pos="993"/>
        </w:tabs>
        <w:ind w:left="993" w:hanging="426"/>
      </w:pPr>
      <w:r w:rsidRPr="009B5B78">
        <w:t>To develop a "benchmark" for each product category, where the benchmark is the quantified environmental performance</w:t>
      </w:r>
      <w:r w:rsidR="00093A91">
        <w:t xml:space="preserve"> (Environmental Footprint profile)</w:t>
      </w:r>
      <w:r w:rsidRPr="009B5B78">
        <w:t xml:space="preserve"> of the average product sold in </w:t>
      </w:r>
      <w:r w:rsidR="00F64625" w:rsidRPr="009B5B78">
        <w:t xml:space="preserve">the </w:t>
      </w:r>
      <w:r w:rsidRPr="009B5B78">
        <w:t>EU. The benchmark is available per impact category (the methods address 16 different impact categories) and as total environmental impact (single score).</w:t>
      </w:r>
    </w:p>
    <w:p w14:paraId="20AEB18D" w14:textId="357E6774" w:rsidR="00E30208" w:rsidRPr="009B5B78" w:rsidRDefault="00E30208" w:rsidP="00E30208">
      <w:pPr>
        <w:pStyle w:val="ListParagraph"/>
        <w:numPr>
          <w:ilvl w:val="0"/>
          <w:numId w:val="28"/>
        </w:numPr>
        <w:tabs>
          <w:tab w:val="left" w:pos="993"/>
        </w:tabs>
        <w:ind w:left="993" w:hanging="426"/>
      </w:pPr>
      <w:r w:rsidRPr="009B5B78">
        <w:t xml:space="preserve">To test alternative verification approaches, knowing that the reliability and traceability of </w:t>
      </w:r>
      <w:r w:rsidR="00915991" w:rsidRPr="009B5B78">
        <w:t xml:space="preserve">public </w:t>
      </w:r>
      <w:r w:rsidRPr="009B5B78">
        <w:t xml:space="preserve">information is a key element to </w:t>
      </w:r>
      <w:r w:rsidR="00915991" w:rsidRPr="009B5B78">
        <w:t xml:space="preserve">tackle </w:t>
      </w:r>
      <w:r w:rsidRPr="009B5B78">
        <w:t xml:space="preserve">the lack </w:t>
      </w:r>
      <w:r w:rsidR="00915991" w:rsidRPr="009B5B78">
        <w:t>of</w:t>
      </w:r>
      <w:r w:rsidRPr="009B5B78">
        <w:t xml:space="preserve"> trust from stakeholders </w:t>
      </w:r>
      <w:r w:rsidR="00915991" w:rsidRPr="009B5B78">
        <w:t>concerning</w:t>
      </w:r>
      <w:r w:rsidRPr="009B5B78">
        <w:t xml:space="preserve"> green claims and labels.</w:t>
      </w:r>
    </w:p>
    <w:p w14:paraId="68DE3B8C" w14:textId="4D53A6E7" w:rsidR="00E30208" w:rsidRPr="009B5B78" w:rsidRDefault="00E30208" w:rsidP="00E30208">
      <w:pPr>
        <w:pStyle w:val="ListParagraph"/>
        <w:numPr>
          <w:ilvl w:val="0"/>
          <w:numId w:val="28"/>
        </w:numPr>
        <w:tabs>
          <w:tab w:val="left" w:pos="993"/>
        </w:tabs>
        <w:ind w:left="993" w:hanging="426"/>
      </w:pPr>
      <w:r w:rsidRPr="009B5B78">
        <w:lastRenderedPageBreak/>
        <w:t>To test alternative communication vehicles (websites, leaflets, Environmental Product Declarations, labels, bar codes, QR codes, etc</w:t>
      </w:r>
      <w:r w:rsidR="00142C9E" w:rsidRPr="009B5B78">
        <w:t>.</w:t>
      </w:r>
      <w:r w:rsidRPr="00D02876">
        <w:t>)</w:t>
      </w:r>
    </w:p>
    <w:p w14:paraId="0938D20E" w14:textId="0B07823E" w:rsidR="00E30208" w:rsidRPr="009B5B78" w:rsidRDefault="00F64625" w:rsidP="00E30208">
      <w:pPr>
        <w:pStyle w:val="Text1"/>
      </w:pPr>
      <w:r w:rsidRPr="009B5B78">
        <w:t>19 PEFCR pilots were finalised:</w:t>
      </w:r>
    </w:p>
    <w:p w14:paraId="63DF1536" w14:textId="06969ACD" w:rsidR="00E30208" w:rsidRPr="009B5B78" w:rsidRDefault="00E30208" w:rsidP="00E30208">
      <w:pPr>
        <w:pStyle w:val="Text1"/>
        <w:numPr>
          <w:ilvl w:val="0"/>
          <w:numId w:val="29"/>
        </w:numPr>
      </w:pPr>
      <w:r w:rsidRPr="009B5B78">
        <w:t xml:space="preserve">food, drinks and related: beer, dairy, feed for food producing animals, </w:t>
      </w:r>
      <w:r w:rsidR="00F64625" w:rsidRPr="009B5B78">
        <w:t xml:space="preserve">dry </w:t>
      </w:r>
      <w:r w:rsidRPr="009B5B78">
        <w:t>pasta, packed water, pet food (cats &amp; dogs), wine;</w:t>
      </w:r>
    </w:p>
    <w:p w14:paraId="003DA651" w14:textId="44C9293B" w:rsidR="00E30208" w:rsidRPr="009B5B78" w:rsidRDefault="00E30208" w:rsidP="00E30208">
      <w:pPr>
        <w:pStyle w:val="Text1"/>
        <w:numPr>
          <w:ilvl w:val="0"/>
          <w:numId w:val="29"/>
        </w:numPr>
      </w:pPr>
      <w:r w:rsidRPr="009B5B78">
        <w:t xml:space="preserve">other </w:t>
      </w:r>
      <w:r w:rsidR="00F64625" w:rsidRPr="009B5B78">
        <w:t>products</w:t>
      </w:r>
      <w:r w:rsidRPr="009B5B78">
        <w:t>: batteries and accumulators, decorative paints, hot and cold water supply pipes, household detergents, intermediate paper product, IT equipment (storage), leather, metal sheets, thermal insulation, t-shirts, uninterruptible power supply (UPS).</w:t>
      </w:r>
    </w:p>
    <w:p w14:paraId="582221E7" w14:textId="317C2011" w:rsidR="00E30208" w:rsidRPr="009B5B78" w:rsidRDefault="00E30208" w:rsidP="00E30208">
      <w:pPr>
        <w:pStyle w:val="Text1"/>
      </w:pPr>
      <w:r w:rsidRPr="009B5B78">
        <w:t xml:space="preserve">2 </w:t>
      </w:r>
      <w:r w:rsidR="00777992" w:rsidRPr="009B5B78">
        <w:t xml:space="preserve">OEFSR </w:t>
      </w:r>
      <w:r w:rsidRPr="009B5B78">
        <w:t xml:space="preserve">pilots </w:t>
      </w:r>
      <w:r w:rsidR="00777992" w:rsidRPr="009B5B78">
        <w:t>were finalised</w:t>
      </w:r>
      <w:r w:rsidRPr="009B5B78">
        <w:t>: retail and copper production.</w:t>
      </w:r>
      <w:r w:rsidRPr="009B5B78">
        <w:rPr>
          <w:rStyle w:val="FootnoteReference"/>
        </w:rPr>
        <w:footnoteReference w:id="7"/>
      </w:r>
    </w:p>
    <w:p w14:paraId="0E3A9402" w14:textId="7071E529" w:rsidR="00E30208" w:rsidRPr="009B5B78" w:rsidRDefault="00E30208" w:rsidP="00E30208">
      <w:pPr>
        <w:pStyle w:val="Text1"/>
      </w:pPr>
      <w:r w:rsidRPr="009B5B78">
        <w:t>About 300 companies and business assoc</w:t>
      </w:r>
      <w:r w:rsidR="00777992" w:rsidRPr="009B5B78">
        <w:t>iations (from the EU and beyond</w:t>
      </w:r>
      <w:r w:rsidRPr="009B5B78">
        <w:t xml:space="preserve">) </w:t>
      </w:r>
      <w:r w:rsidR="00777992" w:rsidRPr="009B5B78">
        <w:t xml:space="preserve">were </w:t>
      </w:r>
      <w:r w:rsidRPr="009B5B78">
        <w:t>directly involved in the technical work. More than 2000 stakeholders follow</w:t>
      </w:r>
      <w:r w:rsidR="00777992" w:rsidRPr="009B5B78">
        <w:t>ed</w:t>
      </w:r>
      <w:r w:rsidRPr="009B5B78">
        <w:t xml:space="preserve"> the work done during the pilot phase. Several </w:t>
      </w:r>
      <w:r w:rsidR="0017089B" w:rsidRPr="009B5B78">
        <w:t>public administrations</w:t>
      </w:r>
      <w:r w:rsidRPr="009B5B78">
        <w:t xml:space="preserve"> are closely monitoring the work and some of them (</w:t>
      </w:r>
      <w:r w:rsidR="00D02876">
        <w:t xml:space="preserve">e.g. </w:t>
      </w:r>
      <w:r w:rsidR="00915991" w:rsidRPr="009B5B78">
        <w:t xml:space="preserve">in </w:t>
      </w:r>
      <w:r w:rsidRPr="009B5B78">
        <w:t>France, Germany, Italy, Switzerland) are also contributing to the technical work.</w:t>
      </w:r>
    </w:p>
    <w:p w14:paraId="028DB359" w14:textId="61A9407B" w:rsidR="00E30208" w:rsidRPr="009B5B78" w:rsidRDefault="00696750" w:rsidP="00E30208">
      <w:pPr>
        <w:pStyle w:val="Text1"/>
      </w:pPr>
      <w:r w:rsidRPr="009B5B78">
        <w:t xml:space="preserve">Guidance documents related to PEF and to OEF </w:t>
      </w:r>
      <w:r w:rsidR="00915991" w:rsidRPr="009B5B78">
        <w:t xml:space="preserve">were developed to </w:t>
      </w:r>
      <w:r w:rsidRPr="009B5B78">
        <w:t xml:space="preserve">provide instructions on how to develop PEFCRs and OEFSRs during the </w:t>
      </w:r>
      <w:r w:rsidR="00E30208" w:rsidRPr="009B5B78">
        <w:t>pilot phase. The</w:t>
      </w:r>
      <w:r w:rsidRPr="009B5B78">
        <w:t>se</w:t>
      </w:r>
      <w:r w:rsidR="00E30208" w:rsidRPr="009B5B78">
        <w:t xml:space="preserve"> documents were regularly updated during the pilot phase to reflect agreements on methodological approaches (e.g. approach on how to identify most relevant environmental impacts, life cycle stages and processes, </w:t>
      </w:r>
      <w:r w:rsidR="00093A91">
        <w:t>rules regarding data use</w:t>
      </w:r>
      <w:r w:rsidR="00E30208" w:rsidRPr="009B5B78">
        <w:t xml:space="preserve">). </w:t>
      </w:r>
    </w:p>
    <w:p w14:paraId="11261083" w14:textId="5E121A22" w:rsidR="00E30208" w:rsidRPr="009B5B78" w:rsidRDefault="00E30208" w:rsidP="00E30208">
      <w:pPr>
        <w:pStyle w:val="Text1"/>
      </w:pPr>
      <w:r w:rsidRPr="009B5B78">
        <w:t xml:space="preserve">The essential technical developments </w:t>
      </w:r>
      <w:r w:rsidR="00093A91">
        <w:t xml:space="preserve">resulting from </w:t>
      </w:r>
      <w:r w:rsidRPr="009B5B78">
        <w:t>the pilot phase include the following features:</w:t>
      </w:r>
    </w:p>
    <w:p w14:paraId="7C542763" w14:textId="77777777" w:rsidR="00E30208" w:rsidRPr="009B5B78" w:rsidRDefault="00E30208" w:rsidP="00E30208">
      <w:pPr>
        <w:pStyle w:val="Text1"/>
        <w:numPr>
          <w:ilvl w:val="0"/>
          <w:numId w:val="30"/>
        </w:numPr>
      </w:pPr>
      <w:r w:rsidRPr="009B5B78">
        <w:t>application of the materiality principle</w:t>
      </w:r>
      <w:r w:rsidR="00953D37" w:rsidRPr="009B5B78">
        <w:t xml:space="preserve"> “(</w:t>
      </w:r>
      <w:r w:rsidR="00953D37" w:rsidRPr="00093A91">
        <w:rPr>
          <w:i/>
        </w:rPr>
        <w:t>act where it matters</w:t>
      </w:r>
      <w:r w:rsidR="00953D37" w:rsidRPr="009B5B78">
        <w:t>”):</w:t>
      </w:r>
    </w:p>
    <w:p w14:paraId="008EAB6B" w14:textId="77777777" w:rsidR="00E30208" w:rsidRPr="009B5B78" w:rsidRDefault="00E30208" w:rsidP="00E30208">
      <w:pPr>
        <w:pStyle w:val="Text1"/>
        <w:numPr>
          <w:ilvl w:val="0"/>
          <w:numId w:val="30"/>
        </w:numPr>
      </w:pPr>
      <w:r w:rsidRPr="009B5B78">
        <w:t>how to define a benchmark (which corresponds to the Environmental Footprint profile of the average product/ organisation on the market, also called representative product/ organisation);</w:t>
      </w:r>
    </w:p>
    <w:p w14:paraId="7C52E1F0" w14:textId="77777777" w:rsidR="00E30208" w:rsidRPr="009B5B78" w:rsidRDefault="00E30208" w:rsidP="00E30208">
      <w:pPr>
        <w:pStyle w:val="Text1"/>
        <w:numPr>
          <w:ilvl w:val="0"/>
          <w:numId w:val="30"/>
        </w:numPr>
      </w:pPr>
      <w:r w:rsidRPr="009B5B78">
        <w:t xml:space="preserve">agreements on </w:t>
      </w:r>
      <w:r w:rsidR="000B5F40" w:rsidRPr="009B5B78">
        <w:t xml:space="preserve">the </w:t>
      </w:r>
      <w:r w:rsidRPr="009B5B78">
        <w:t xml:space="preserve">modelling </w:t>
      </w:r>
      <w:r w:rsidR="000B5F40" w:rsidRPr="009B5B78">
        <w:t>of key aspects concerning</w:t>
      </w:r>
      <w:r w:rsidRPr="009B5B78">
        <w:t xml:space="preserve"> climate change, electricity, transport, infrastructure &amp; equipment, packaging, end of life and agriculture;</w:t>
      </w:r>
    </w:p>
    <w:p w14:paraId="12B2ABA1" w14:textId="08574E3A" w:rsidR="00E30208" w:rsidRPr="009B5B78" w:rsidRDefault="00867B00" w:rsidP="00E30208">
      <w:pPr>
        <w:pStyle w:val="Text1"/>
        <w:numPr>
          <w:ilvl w:val="0"/>
          <w:numId w:val="30"/>
        </w:numPr>
      </w:pPr>
      <w:r w:rsidRPr="009B5B78">
        <w:t>inclusion of</w:t>
      </w:r>
      <w:r w:rsidR="00E30208" w:rsidRPr="009B5B78">
        <w:t xml:space="preserve"> normalisation and weighting;</w:t>
      </w:r>
    </w:p>
    <w:p w14:paraId="5A2EF98C" w14:textId="77777777" w:rsidR="00867B00" w:rsidRPr="009B5B78" w:rsidRDefault="00E30208" w:rsidP="00E30208">
      <w:pPr>
        <w:pStyle w:val="Text1"/>
        <w:numPr>
          <w:ilvl w:val="0"/>
          <w:numId w:val="30"/>
        </w:numPr>
      </w:pPr>
      <w:r w:rsidRPr="009B5B78">
        <w:t>guidelines on how to include biodiversity as additional environmental information (non-LCA information)</w:t>
      </w:r>
      <w:r w:rsidR="00867B00" w:rsidRPr="009B5B78">
        <w:t xml:space="preserve">; </w:t>
      </w:r>
    </w:p>
    <w:p w14:paraId="75A86A14" w14:textId="6C15786B" w:rsidR="00AA2D7A" w:rsidRDefault="00867B00" w:rsidP="00E30208">
      <w:pPr>
        <w:pStyle w:val="Text1"/>
        <w:numPr>
          <w:ilvl w:val="0"/>
          <w:numId w:val="30"/>
        </w:numPr>
      </w:pPr>
      <w:r w:rsidRPr="009B5B78">
        <w:t xml:space="preserve">improvement of </w:t>
      </w:r>
      <w:r w:rsidR="001E4ABE">
        <w:t xml:space="preserve">some impact assessment methods, with particular attention to </w:t>
      </w:r>
      <w:r w:rsidRPr="009B5B78">
        <w:t xml:space="preserve">the toxicity-related methods (human toxicity – cancer effects; human </w:t>
      </w:r>
      <w:r w:rsidRPr="009B5B78">
        <w:lastRenderedPageBreak/>
        <w:t>toxicity – non-cancer effects; eco-toxicity</w:t>
      </w:r>
      <w:r w:rsidR="001E4ABE" w:rsidRPr="001E4ABE">
        <w:t xml:space="preserve"> </w:t>
      </w:r>
      <w:r w:rsidR="001E4ABE" w:rsidRPr="009B5B78">
        <w:t>freshwater</w:t>
      </w:r>
      <w:r w:rsidR="001E4ABE">
        <w:rPr>
          <w:rStyle w:val="FootnoteReference"/>
        </w:rPr>
        <w:footnoteReference w:id="8"/>
      </w:r>
      <w:r w:rsidRPr="009B5B78">
        <w:t>), defining characterisation factors based on REACH data</w:t>
      </w:r>
      <w:r w:rsidR="00AA2D7A">
        <w:t>;</w:t>
      </w:r>
    </w:p>
    <w:p w14:paraId="6B6EECAB" w14:textId="4E4C84EE" w:rsidR="00E30208" w:rsidRPr="00543FCF" w:rsidRDefault="00AA2D7A" w:rsidP="00E30208">
      <w:pPr>
        <w:pStyle w:val="Text1"/>
        <w:numPr>
          <w:ilvl w:val="0"/>
          <w:numId w:val="30"/>
        </w:numPr>
      </w:pPr>
      <w:r w:rsidRPr="007C20C1">
        <w:rPr>
          <w:lang w:val="en-US"/>
        </w:rPr>
        <w:t>a guide</w:t>
      </w:r>
      <w:r w:rsidRPr="00543FCF">
        <w:t xml:space="preserve"> on Environmental Footprint compliant datasets</w:t>
      </w:r>
      <w:r w:rsidRPr="009B5B78">
        <w:rPr>
          <w:rStyle w:val="FootnoteReference"/>
          <w:rFonts w:cs="Calibri"/>
        </w:rPr>
        <w:footnoteReference w:id="9"/>
      </w:r>
      <w:r w:rsidRPr="009B5B78">
        <w:rPr>
          <w:rFonts w:cs="Calibri"/>
        </w:rPr>
        <w:t>,</w:t>
      </w:r>
      <w:r w:rsidRPr="00543FCF">
        <w:t xml:space="preserve"> </w:t>
      </w:r>
      <w:r w:rsidRPr="007C20C1">
        <w:rPr>
          <w:lang w:val="en-US"/>
        </w:rPr>
        <w:t>to ensure a common</w:t>
      </w:r>
      <w:r w:rsidRPr="00AA2D7A">
        <w:rPr>
          <w:lang w:val="en-US"/>
        </w:rPr>
        <w:t xml:space="preserve"> approach </w:t>
      </w:r>
      <w:r>
        <w:rPr>
          <w:lang w:val="en-US"/>
        </w:rPr>
        <w:t>for data (e.g. how to document changes in datasets, requirements on meta-information, modelling requirements, review requirements, etc.)</w:t>
      </w:r>
      <w:r w:rsidR="00FD599E">
        <w:rPr>
          <w:lang w:val="en-US"/>
        </w:rPr>
        <w:t>.</w:t>
      </w:r>
    </w:p>
    <w:p w14:paraId="037FED25" w14:textId="4021AF40" w:rsidR="00E30208" w:rsidRPr="009B5B78" w:rsidRDefault="00E30208" w:rsidP="00E30208">
      <w:pPr>
        <w:pStyle w:val="Text1"/>
      </w:pPr>
      <w:r w:rsidRPr="009B5B78">
        <w:t xml:space="preserve">The pilot phase </w:t>
      </w:r>
      <w:r w:rsidR="00696750" w:rsidRPr="009B5B78">
        <w:t>identified</w:t>
      </w:r>
      <w:r w:rsidRPr="009B5B78">
        <w:t xml:space="preserve"> need</w:t>
      </w:r>
      <w:r w:rsidR="00696750" w:rsidRPr="009B5B78">
        <w:t>s for</w:t>
      </w:r>
      <w:r w:rsidRPr="009B5B78">
        <w:t xml:space="preserve"> further improve</w:t>
      </w:r>
      <w:r w:rsidR="00696750" w:rsidRPr="009B5B78">
        <w:t xml:space="preserve">ment of </w:t>
      </w:r>
      <w:r w:rsidRPr="009B5B78">
        <w:t>the approach on certain issues</w:t>
      </w:r>
      <w:r w:rsidR="00696750" w:rsidRPr="009B5B78">
        <w:t xml:space="preserve"> such as</w:t>
      </w:r>
      <w:r w:rsidRPr="009B5B78">
        <w:t>:</w:t>
      </w:r>
    </w:p>
    <w:p w14:paraId="5DB96122" w14:textId="7D6BC0DD" w:rsidR="00E30208" w:rsidRPr="009B5B78" w:rsidRDefault="00E30208" w:rsidP="00E30208">
      <w:pPr>
        <w:pStyle w:val="Text1"/>
        <w:numPr>
          <w:ilvl w:val="0"/>
          <w:numId w:val="31"/>
        </w:numPr>
      </w:pPr>
      <w:r w:rsidRPr="009B5B78">
        <w:t xml:space="preserve">scope definition: identifying rules for </w:t>
      </w:r>
      <w:r w:rsidR="005521B6" w:rsidRPr="009B5B78">
        <w:t xml:space="preserve">defining </w:t>
      </w:r>
      <w:r w:rsidRPr="009B5B78">
        <w:t>the right coverage/ granularity for PEFCRs and OEFSRs;</w:t>
      </w:r>
    </w:p>
    <w:p w14:paraId="2BD03423" w14:textId="5140837C" w:rsidR="00E30208" w:rsidRPr="009B5B78" w:rsidRDefault="00E30208" w:rsidP="00E30208">
      <w:pPr>
        <w:pStyle w:val="Text1"/>
        <w:numPr>
          <w:ilvl w:val="0"/>
          <w:numId w:val="31"/>
        </w:numPr>
      </w:pPr>
      <w:r w:rsidRPr="009B5B78">
        <w:t>develop</w:t>
      </w:r>
      <w:r w:rsidR="00696750" w:rsidRPr="009B5B78">
        <w:t xml:space="preserve">ment </w:t>
      </w:r>
      <w:r w:rsidR="0000162A" w:rsidRPr="009B5B78">
        <w:t>of</w:t>
      </w:r>
      <w:r w:rsidRPr="009B5B78">
        <w:t xml:space="preserve"> an approach for defining classes of performance</w:t>
      </w:r>
      <w:r w:rsidR="00867B00" w:rsidRPr="009B5B78">
        <w:t xml:space="preserve"> </w:t>
      </w:r>
      <w:r w:rsidR="0000162A" w:rsidRPr="009B5B78">
        <w:t>(the</w:t>
      </w:r>
      <w:r w:rsidR="00867B00" w:rsidRPr="009B5B78">
        <w:t xml:space="preserve"> recommended </w:t>
      </w:r>
      <w:r w:rsidR="0000162A" w:rsidRPr="009B5B78">
        <w:t xml:space="preserve">approach is described </w:t>
      </w:r>
      <w:r w:rsidR="00867B00" w:rsidRPr="009B5B78">
        <w:t>in the JRC report on the PEF method</w:t>
      </w:r>
      <w:r w:rsidR="00867B00" w:rsidRPr="009B5B78">
        <w:rPr>
          <w:rStyle w:val="FootnoteReference"/>
        </w:rPr>
        <w:footnoteReference w:id="10"/>
      </w:r>
      <w:r w:rsidR="0000162A" w:rsidRPr="009B5B78">
        <w:t>)</w:t>
      </w:r>
      <w:r w:rsidRPr="009B5B78">
        <w:t>;</w:t>
      </w:r>
    </w:p>
    <w:p w14:paraId="6D6CF3EF" w14:textId="15DCE65D" w:rsidR="00E30208" w:rsidRPr="009B5B78" w:rsidRDefault="00696750" w:rsidP="00E30208">
      <w:pPr>
        <w:pStyle w:val="Text1"/>
        <w:numPr>
          <w:ilvl w:val="0"/>
          <w:numId w:val="31"/>
        </w:numPr>
      </w:pPr>
      <w:r w:rsidRPr="009B5B78">
        <w:t>improvement of</w:t>
      </w:r>
      <w:r w:rsidR="00E30208" w:rsidRPr="009B5B78">
        <w:t xml:space="preserve"> </w:t>
      </w:r>
      <w:r w:rsidR="0000162A" w:rsidRPr="009B5B78">
        <w:t xml:space="preserve">the </w:t>
      </w:r>
      <w:r w:rsidR="00E30208" w:rsidRPr="009B5B78">
        <w:t xml:space="preserve">modelling </w:t>
      </w:r>
      <w:r w:rsidR="0000162A" w:rsidRPr="009B5B78">
        <w:t xml:space="preserve">concerning </w:t>
      </w:r>
      <w:r w:rsidR="00E30208" w:rsidRPr="009B5B78">
        <w:t>agriculture and animal</w:t>
      </w:r>
      <w:r w:rsidR="005521B6" w:rsidRPr="009B5B78">
        <w:t xml:space="preserve"> products </w:t>
      </w:r>
      <w:r w:rsidR="0000162A" w:rsidRPr="009B5B78">
        <w:t xml:space="preserve"> aspect</w:t>
      </w:r>
      <w:r w:rsidR="00E30208" w:rsidRPr="009B5B78">
        <w:t>s (allocation of impacts)</w:t>
      </w:r>
      <w:r w:rsidR="001E4ABE">
        <w:t>.</w:t>
      </w:r>
      <w:r w:rsidR="00867B00" w:rsidRPr="009B5B78">
        <w:t xml:space="preserve"> </w:t>
      </w:r>
    </w:p>
    <w:p w14:paraId="0A7EA6BE" w14:textId="55C6C9DF" w:rsidR="001C5838" w:rsidRPr="009B5B78" w:rsidRDefault="001C5838" w:rsidP="00E30208">
      <w:pPr>
        <w:pStyle w:val="Text1"/>
      </w:pPr>
      <w:r w:rsidRPr="009B5B78">
        <w:t xml:space="preserve">The methodological agreements reached during the pilot phase and further improvements were included in the </w:t>
      </w:r>
      <w:r w:rsidR="00692557" w:rsidRPr="009B5B78">
        <w:t>EC-</w:t>
      </w:r>
      <w:r w:rsidRPr="009B5B78">
        <w:t>JRC reports on the PEF and OEF methods</w:t>
      </w:r>
      <w:r w:rsidRPr="009B5B78">
        <w:rPr>
          <w:rStyle w:val="FootnoteReference"/>
        </w:rPr>
        <w:footnoteReference w:id="11"/>
      </w:r>
      <w:r w:rsidRPr="009B5B78">
        <w:t xml:space="preserve">. </w:t>
      </w:r>
    </w:p>
    <w:p w14:paraId="612C1D03" w14:textId="03E684E0" w:rsidR="00E30208" w:rsidRPr="009B5B78" w:rsidRDefault="00BB6650" w:rsidP="00E30208">
      <w:pPr>
        <w:pStyle w:val="Text1"/>
      </w:pPr>
      <w:r w:rsidRPr="00BB6650">
        <w:rPr>
          <w:b/>
        </w:rPr>
        <w:t>Assessing the results of the pilot phase</w:t>
      </w:r>
    </w:p>
    <w:p w14:paraId="7461F2EC" w14:textId="128ECB81" w:rsidR="00E30208" w:rsidRPr="009B5B78" w:rsidRDefault="00696750" w:rsidP="00BB6650">
      <w:pPr>
        <w:tabs>
          <w:tab w:val="left" w:pos="993"/>
        </w:tabs>
        <w:ind w:left="635"/>
      </w:pPr>
      <w:r w:rsidRPr="00BB6650">
        <w:rPr>
          <w:b/>
        </w:rPr>
        <w:t>An i</w:t>
      </w:r>
      <w:r w:rsidR="00E30208" w:rsidRPr="00BB6650">
        <w:rPr>
          <w:b/>
        </w:rPr>
        <w:t>ndependent review</w:t>
      </w:r>
      <w:r w:rsidR="00E30208" w:rsidRPr="009B5B78">
        <w:t xml:space="preserve"> of the Environmental Footprint pilot phase </w:t>
      </w:r>
      <w:r w:rsidR="0000162A" w:rsidRPr="009B5B78">
        <w:t xml:space="preserve">was conducted </w:t>
      </w:r>
      <w:r w:rsidR="00E30208" w:rsidRPr="009B5B78">
        <w:t xml:space="preserve">by experts from international organisations (UNEP), the private sector and </w:t>
      </w:r>
      <w:r w:rsidR="0000162A" w:rsidRPr="009B5B78">
        <w:t xml:space="preserve">an </w:t>
      </w:r>
      <w:r w:rsidR="00E30208" w:rsidRPr="009B5B78">
        <w:t>NGO. This report was finalised in August 2017</w:t>
      </w:r>
      <w:r w:rsidR="00E30208" w:rsidRPr="009B5B78">
        <w:rPr>
          <w:rStyle w:val="FootnoteReference"/>
        </w:rPr>
        <w:footnoteReference w:id="12"/>
      </w:r>
      <w:r w:rsidR="00E30208" w:rsidRPr="009B5B78">
        <w:t xml:space="preserve"> and concluded that:</w:t>
      </w:r>
    </w:p>
    <w:p w14:paraId="6CB14B15" w14:textId="77777777" w:rsidR="00E30208" w:rsidRPr="009B5B78" w:rsidRDefault="00E30208" w:rsidP="00BB6650">
      <w:pPr>
        <w:pStyle w:val="ListParagraph"/>
        <w:numPr>
          <w:ilvl w:val="0"/>
          <w:numId w:val="27"/>
        </w:numPr>
      </w:pPr>
      <w:r w:rsidRPr="009B5B78">
        <w:t>PEF and OEF are a good basis for harmonisation at EU and international level, more action is needed internationally;</w:t>
      </w:r>
    </w:p>
    <w:p w14:paraId="689A4E80" w14:textId="77777777" w:rsidR="00E30208" w:rsidRPr="009B5B78" w:rsidRDefault="00E30208" w:rsidP="00BB6650">
      <w:pPr>
        <w:pStyle w:val="ListParagraph"/>
        <w:numPr>
          <w:ilvl w:val="0"/>
          <w:numId w:val="27"/>
        </w:numPr>
      </w:pPr>
      <w:r w:rsidRPr="009B5B78">
        <w:t xml:space="preserve">PEF and OEF are good tools for simplifying the </w:t>
      </w:r>
      <w:r w:rsidR="00692557" w:rsidRPr="009B5B78">
        <w:t xml:space="preserve">environmental </w:t>
      </w:r>
      <w:r w:rsidRPr="009B5B78">
        <w:t>assessment and information gathering for industry and for companies in supply chains;</w:t>
      </w:r>
    </w:p>
    <w:p w14:paraId="02C277AB" w14:textId="7C733519" w:rsidR="00E30208" w:rsidRPr="009B5B78" w:rsidRDefault="00E30208" w:rsidP="00BB6650">
      <w:pPr>
        <w:pStyle w:val="ListParagraph"/>
        <w:numPr>
          <w:ilvl w:val="0"/>
          <w:numId w:val="27"/>
        </w:numPr>
      </w:pPr>
      <w:r w:rsidRPr="009B5B78">
        <w:t xml:space="preserve">Stakeholders expect that the Commission will discuss as quickly as possible with stakeholders the </w:t>
      </w:r>
      <w:r w:rsidR="0000162A" w:rsidRPr="009B5B78">
        <w:t xml:space="preserve">potential uses of </w:t>
      </w:r>
      <w:r w:rsidRPr="009B5B78">
        <w:t>the Environmental Footprint</w:t>
      </w:r>
      <w:r w:rsidR="002F0E51">
        <w:t xml:space="preserve"> (EF)</w:t>
      </w:r>
      <w:r w:rsidRPr="009B5B78">
        <w:t xml:space="preserve"> methods. </w:t>
      </w:r>
    </w:p>
    <w:p w14:paraId="79759590" w14:textId="6AC8F232" w:rsidR="00E30208" w:rsidRPr="009B5B78" w:rsidRDefault="00E30208" w:rsidP="00BB6650">
      <w:pPr>
        <w:pStyle w:val="ListParagraph"/>
        <w:numPr>
          <w:ilvl w:val="0"/>
          <w:numId w:val="27"/>
        </w:numPr>
      </w:pPr>
      <w:r w:rsidRPr="009B5B78">
        <w:t>Rules on verification are needed</w:t>
      </w:r>
      <w:r w:rsidR="00647E4D" w:rsidRPr="009B5B78">
        <w:t>;</w:t>
      </w:r>
    </w:p>
    <w:p w14:paraId="2EF7A93B" w14:textId="77777777" w:rsidR="00E30208" w:rsidRPr="009B5B78" w:rsidRDefault="00E30208" w:rsidP="00BB6650">
      <w:pPr>
        <w:pStyle w:val="ListParagraph"/>
        <w:numPr>
          <w:ilvl w:val="0"/>
          <w:numId w:val="27"/>
        </w:numPr>
      </w:pPr>
      <w:r w:rsidRPr="009B5B78">
        <w:t>A multi-stakeholder approach that considers existing initiatives should be continued;</w:t>
      </w:r>
    </w:p>
    <w:p w14:paraId="6E2406D6" w14:textId="4190FBFB" w:rsidR="00E30208" w:rsidRPr="009B5B78" w:rsidRDefault="00E30208" w:rsidP="00BB6650">
      <w:pPr>
        <w:pStyle w:val="ListParagraph"/>
        <w:numPr>
          <w:ilvl w:val="0"/>
          <w:numId w:val="27"/>
        </w:numPr>
      </w:pPr>
      <w:r w:rsidRPr="009B5B78">
        <w:t xml:space="preserve">Integration into existing policies such as </w:t>
      </w:r>
      <w:r w:rsidR="002A478E">
        <w:t xml:space="preserve">EU </w:t>
      </w:r>
      <w:r w:rsidRPr="009B5B78">
        <w:t>Ecolabel, Green Public Procurement and EMAS is a logical next step</w:t>
      </w:r>
      <w:r w:rsidR="00647E4D" w:rsidRPr="009B5B78">
        <w:t>;</w:t>
      </w:r>
    </w:p>
    <w:p w14:paraId="772727BD" w14:textId="0D3AF7E3" w:rsidR="00E30208" w:rsidRPr="009B5B78" w:rsidRDefault="00E30208" w:rsidP="00BB6650">
      <w:pPr>
        <w:pStyle w:val="ListParagraph"/>
        <w:numPr>
          <w:ilvl w:val="0"/>
          <w:numId w:val="27"/>
        </w:numPr>
      </w:pPr>
      <w:r w:rsidRPr="009B5B78">
        <w:t>The pilot phase created consolidated approaches to some long-debated methodological issues (e.g. end of life of products)</w:t>
      </w:r>
      <w:r w:rsidR="00647E4D" w:rsidRPr="009B5B78">
        <w:t>;</w:t>
      </w:r>
    </w:p>
    <w:p w14:paraId="342C825C" w14:textId="3A005A95" w:rsidR="00E30208" w:rsidRPr="009B5B78" w:rsidRDefault="00E30208" w:rsidP="00BB6650">
      <w:pPr>
        <w:pStyle w:val="ListParagraph"/>
        <w:numPr>
          <w:ilvl w:val="0"/>
          <w:numId w:val="27"/>
        </w:numPr>
      </w:pPr>
      <w:r w:rsidRPr="009B5B78">
        <w:t>There are a number of opinions on how to communicate EF  information</w:t>
      </w:r>
      <w:r w:rsidR="00647E4D" w:rsidRPr="009B5B78">
        <w:t>;</w:t>
      </w:r>
    </w:p>
    <w:p w14:paraId="2A91D146" w14:textId="77777777" w:rsidR="00E30208" w:rsidRPr="009B5B78" w:rsidRDefault="00E30208" w:rsidP="00BB6650">
      <w:pPr>
        <w:pStyle w:val="ListParagraph"/>
        <w:numPr>
          <w:ilvl w:val="0"/>
          <w:numId w:val="27"/>
        </w:numPr>
        <w:contextualSpacing w:val="0"/>
      </w:pPr>
      <w:r w:rsidRPr="009B5B78">
        <w:t xml:space="preserve">There are a number of opinions on the Environmental Footprint methods, ranging from trust in its robustness to doubts on specific elements in the </w:t>
      </w:r>
      <w:r w:rsidRPr="009B5B78">
        <w:lastRenderedPageBreak/>
        <w:t xml:space="preserve">methods (e.g. toxicity impact categories); from appreciation of simplifications through the PEFCRs/ OEFSRs to worries about over-simplification. </w:t>
      </w:r>
    </w:p>
    <w:p w14:paraId="7EC94C5B" w14:textId="25B003EC" w:rsidR="00E30208" w:rsidRPr="009B5B78" w:rsidRDefault="00BB6650" w:rsidP="00762F33">
      <w:pPr>
        <w:tabs>
          <w:tab w:val="left" w:pos="993"/>
        </w:tabs>
        <w:ind w:left="635"/>
      </w:pPr>
      <w:r>
        <w:t>During the pilot phase, pilots tested different approaches to verification. The report concluding this exercise looked at the</w:t>
      </w:r>
      <w:r w:rsidR="002A478E">
        <w:t xml:space="preserve"> </w:t>
      </w:r>
      <w:r w:rsidR="00696750" w:rsidRPr="00BB6650">
        <w:rPr>
          <w:b/>
        </w:rPr>
        <w:t>v</w:t>
      </w:r>
      <w:r w:rsidR="00E30208" w:rsidRPr="00BB6650">
        <w:rPr>
          <w:b/>
        </w:rPr>
        <w:t xml:space="preserve">erification </w:t>
      </w:r>
      <w:r w:rsidR="00E30208" w:rsidRPr="009B5B78">
        <w:t>of embedded impacts and traceability as part of the Environmental Footprint methods implementation, including recommendations on the verification of Environmental Footprint information. This report was finalised in April 2017</w:t>
      </w:r>
      <w:r w:rsidR="00E30208" w:rsidRPr="009B5B78">
        <w:rPr>
          <w:rStyle w:val="FootnoteReference"/>
        </w:rPr>
        <w:footnoteReference w:id="13"/>
      </w:r>
      <w:r w:rsidR="00D03E64">
        <w:t>.</w:t>
      </w:r>
    </w:p>
    <w:p w14:paraId="0B832F01" w14:textId="648310E6" w:rsidR="00E30208" w:rsidRPr="009B5B78" w:rsidRDefault="00BB6650" w:rsidP="00BB6650">
      <w:pPr>
        <w:tabs>
          <w:tab w:val="left" w:pos="993"/>
        </w:tabs>
        <w:ind w:left="635"/>
      </w:pPr>
      <w:r>
        <w:t>The Technical Helpdesk for testing of Environmental Footprint rules produced a</w:t>
      </w:r>
      <w:r w:rsidR="00E30208" w:rsidRPr="009B5B78">
        <w:t xml:space="preserve"> report on the</w:t>
      </w:r>
      <w:r w:rsidR="00E30208" w:rsidRPr="00BB6650">
        <w:rPr>
          <w:b/>
        </w:rPr>
        <w:t xml:space="preserve"> technical evaluation</w:t>
      </w:r>
      <w:r w:rsidR="00E30208" w:rsidRPr="009B5B78">
        <w:t xml:space="preserve"> of the pilot phase in April 2017</w:t>
      </w:r>
      <w:r w:rsidR="00E30208" w:rsidRPr="009B5B78">
        <w:rPr>
          <w:rStyle w:val="FootnoteReference"/>
        </w:rPr>
        <w:footnoteReference w:id="14"/>
      </w:r>
    </w:p>
    <w:p w14:paraId="723FA7B0" w14:textId="73C61C46" w:rsidR="00E30208" w:rsidRPr="009B5B78" w:rsidRDefault="000E50FE" w:rsidP="000E50FE">
      <w:pPr>
        <w:tabs>
          <w:tab w:val="left" w:pos="993"/>
        </w:tabs>
        <w:ind w:left="635"/>
      </w:pPr>
      <w:r>
        <w:t xml:space="preserve">The results of the testing </w:t>
      </w:r>
      <w:r w:rsidR="00E30208" w:rsidRPr="009B5B78">
        <w:t xml:space="preserve">of different </w:t>
      </w:r>
      <w:r w:rsidR="00E30208" w:rsidRPr="000E50FE">
        <w:rPr>
          <w:b/>
        </w:rPr>
        <w:t>communication vehicles</w:t>
      </w:r>
      <w:r w:rsidR="00E30208" w:rsidRPr="009B5B78">
        <w:t xml:space="preserve"> for providing Environmental Footprint information, including recommendations based on tests of pilots and complementary tests decided by DG Environment</w:t>
      </w:r>
      <w:r>
        <w:t xml:space="preserve"> was also published in a report</w:t>
      </w:r>
      <w:r w:rsidR="0017089B" w:rsidRPr="001E4ABE">
        <w:rPr>
          <w:rStyle w:val="FootnoteReference"/>
        </w:rPr>
        <w:footnoteReference w:id="15"/>
      </w:r>
    </w:p>
    <w:bookmarkEnd w:id="0"/>
    <w:p w14:paraId="7DCC2D47" w14:textId="72A76DA8" w:rsidR="001C5838" w:rsidRPr="009B5B78" w:rsidRDefault="001C5838" w:rsidP="00087EF1">
      <w:pPr>
        <w:pStyle w:val="Heading1"/>
      </w:pPr>
      <w:r w:rsidRPr="009B5B78">
        <w:t>Developments after the pilot phase</w:t>
      </w:r>
    </w:p>
    <w:p w14:paraId="646D650D" w14:textId="4D313030" w:rsidR="001C5838" w:rsidRPr="009B5B78" w:rsidRDefault="00810CF6" w:rsidP="001C5838">
      <w:pPr>
        <w:pStyle w:val="Text1"/>
      </w:pPr>
      <w:r w:rsidRPr="009B5B78">
        <w:t>A new call for volunteers was issued in 2019. PEFCR development is ongoing for apparel and footwear, cut flowers and potted plants, flexible packaging, synthetic turf and marine fish. The development of the PEFCRs will conclude in 2022</w:t>
      </w:r>
      <w:r w:rsidR="00405995" w:rsidRPr="009B5B78">
        <w:rPr>
          <w:rStyle w:val="FootnoteReference"/>
        </w:rPr>
        <w:footnoteReference w:id="16"/>
      </w:r>
      <w:r w:rsidRPr="009B5B78">
        <w:t xml:space="preserve">. </w:t>
      </w:r>
    </w:p>
    <w:p w14:paraId="767CA0B5" w14:textId="4CF58E51" w:rsidR="0068459D" w:rsidRPr="009B5B78" w:rsidRDefault="009B3E6E" w:rsidP="001C5838">
      <w:pPr>
        <w:pStyle w:val="Text1"/>
      </w:pPr>
      <w:r w:rsidRPr="009B5B78">
        <w:t xml:space="preserve">The Commission expert group on the Environmental Footprint Technical Advisory Board is giving advice and expertise to the Commission on further technical work related to the Environmental Footprint methods and the development of PEFCRs. </w:t>
      </w:r>
      <w:r w:rsidR="0068459D" w:rsidRPr="009B5B78">
        <w:t>In particular,</w:t>
      </w:r>
      <w:r w:rsidRPr="009B5B78">
        <w:t xml:space="preserve"> the </w:t>
      </w:r>
      <w:r w:rsidR="0068459D" w:rsidRPr="009B5B78">
        <w:t xml:space="preserve">expert </w:t>
      </w:r>
      <w:r w:rsidRPr="009B5B78">
        <w:t xml:space="preserve">group will discuss </w:t>
      </w:r>
      <w:r w:rsidR="0068459D" w:rsidRPr="009B5B78">
        <w:t xml:space="preserve">further on the modelling </w:t>
      </w:r>
      <w:r w:rsidRPr="009B5B78">
        <w:t>of allocation</w:t>
      </w:r>
      <w:r w:rsidR="0068459D" w:rsidRPr="009B5B78">
        <w:t xml:space="preserve"> of impacts. The expert group </w:t>
      </w:r>
      <w:r w:rsidRPr="009B5B78">
        <w:t xml:space="preserve">includes </w:t>
      </w:r>
      <w:r w:rsidR="0068459D" w:rsidRPr="009B5B78">
        <w:t>also two working groups:</w:t>
      </w:r>
    </w:p>
    <w:p w14:paraId="23EE6095" w14:textId="03619DC2" w:rsidR="0068459D" w:rsidRPr="009B5B78" w:rsidRDefault="0068459D" w:rsidP="000E50FE">
      <w:pPr>
        <w:pStyle w:val="Text1"/>
        <w:numPr>
          <w:ilvl w:val="0"/>
          <w:numId w:val="40"/>
        </w:numPr>
      </w:pPr>
      <w:r w:rsidRPr="009B5B78">
        <w:t>the</w:t>
      </w:r>
      <w:r w:rsidR="009B3E6E" w:rsidRPr="009B5B78">
        <w:t xml:space="preserve"> Agricultural Working Group, which will discuss how to improve the modelling of agricultur</w:t>
      </w:r>
      <w:r w:rsidRPr="009B5B78">
        <w:t>al</w:t>
      </w:r>
      <w:r w:rsidR="003A1AB4">
        <w:t xml:space="preserve"> processes</w:t>
      </w:r>
      <w:r w:rsidR="009B3E6E" w:rsidRPr="009B5B78">
        <w:t>, including biodiversity assessment</w:t>
      </w:r>
      <w:r w:rsidR="000E50FE">
        <w:t>;</w:t>
      </w:r>
      <w:r w:rsidR="00405995" w:rsidRPr="009B5B78">
        <w:t xml:space="preserve"> </w:t>
      </w:r>
    </w:p>
    <w:p w14:paraId="4216C7A1" w14:textId="4BFB653D" w:rsidR="00810CF6" w:rsidRPr="009B5B78" w:rsidRDefault="0068459D" w:rsidP="000E50FE">
      <w:pPr>
        <w:pStyle w:val="Text1"/>
        <w:numPr>
          <w:ilvl w:val="0"/>
          <w:numId w:val="40"/>
        </w:numPr>
      </w:pPr>
      <w:r w:rsidRPr="009B5B78">
        <w:t>the</w:t>
      </w:r>
      <w:r w:rsidR="00405995" w:rsidRPr="009B5B78">
        <w:t xml:space="preserve"> Data Working Group</w:t>
      </w:r>
      <w:r w:rsidR="007733BE" w:rsidRPr="009B5B78">
        <w:t>, which</w:t>
      </w:r>
      <w:r w:rsidR="00405995" w:rsidRPr="009B5B78">
        <w:t xml:space="preserve"> deals with changes to the current EF reference package</w:t>
      </w:r>
      <w:r w:rsidR="001A3931">
        <w:rPr>
          <w:rStyle w:val="FootnoteReference"/>
        </w:rPr>
        <w:footnoteReference w:id="17"/>
      </w:r>
      <w:r w:rsidR="00405995" w:rsidRPr="009B5B78">
        <w:t>, defining a set of minimum requirement for software to be considered EF ready</w:t>
      </w:r>
      <w:r w:rsidR="001A3931">
        <w:rPr>
          <w:rStyle w:val="FootnoteReference"/>
        </w:rPr>
        <w:footnoteReference w:id="18"/>
      </w:r>
      <w:r w:rsidR="00405995" w:rsidRPr="009B5B78">
        <w:t>, exchange of models across software</w:t>
      </w:r>
      <w:r w:rsidR="001A3931">
        <w:t>, data quality and review, etc</w:t>
      </w:r>
      <w:r w:rsidR="00405995" w:rsidRPr="009B5B78">
        <w:t xml:space="preserve">. </w:t>
      </w:r>
    </w:p>
    <w:p w14:paraId="596546EC" w14:textId="1C194EC0" w:rsidR="00216213" w:rsidRPr="009B5B78" w:rsidRDefault="00C12DA7" w:rsidP="00122515">
      <w:pPr>
        <w:pStyle w:val="Heading2"/>
      </w:pPr>
      <w:r w:rsidRPr="009B5B78">
        <w:t>Consulting stakeholders</w:t>
      </w:r>
    </w:p>
    <w:p w14:paraId="0D99BCAA" w14:textId="5AB2631A" w:rsidR="00CE7753" w:rsidRPr="009B5B78" w:rsidRDefault="00E21EF7" w:rsidP="00CE7753">
      <w:pPr>
        <w:pStyle w:val="Text1"/>
      </w:pPr>
      <w:r w:rsidRPr="009B5B78">
        <w:t>Input regarding potential future uses of the Environmental Footprint methods was gathered through various channels</w:t>
      </w:r>
      <w:r w:rsidR="00D03E64">
        <w:t xml:space="preserve">and </w:t>
      </w:r>
      <w:r w:rsidR="00CE7753" w:rsidRPr="00322A0C">
        <w:t xml:space="preserve"> covered:</w:t>
      </w:r>
      <w:r w:rsidR="00CE7753" w:rsidRPr="009B5B78">
        <w:t xml:space="preserve"> </w:t>
      </w:r>
    </w:p>
    <w:p w14:paraId="5DE77E8D" w14:textId="54705ED3" w:rsidR="00CE7753" w:rsidRPr="009B5B78" w:rsidRDefault="00CE7753" w:rsidP="00CE7753">
      <w:pPr>
        <w:pStyle w:val="ListParagraph"/>
        <w:numPr>
          <w:ilvl w:val="0"/>
          <w:numId w:val="27"/>
        </w:numPr>
        <w:tabs>
          <w:tab w:val="left" w:pos="993"/>
        </w:tabs>
        <w:ind w:left="992" w:hanging="357"/>
        <w:contextualSpacing w:val="0"/>
      </w:pPr>
      <w:r w:rsidRPr="009B5B78">
        <w:lastRenderedPageBreak/>
        <w:t>stakeholders’ attitudes on the importance of specific environmental information and related to the proliferation of environmental labels and initiatives;</w:t>
      </w:r>
    </w:p>
    <w:p w14:paraId="14EEDB4A" w14:textId="7D90E073" w:rsidR="00CE7753" w:rsidRPr="009B5B78" w:rsidRDefault="00CE7753" w:rsidP="00CE7753">
      <w:pPr>
        <w:pStyle w:val="ListParagraph"/>
        <w:numPr>
          <w:ilvl w:val="0"/>
          <w:numId w:val="27"/>
        </w:numPr>
        <w:tabs>
          <w:tab w:val="left" w:pos="993"/>
        </w:tabs>
        <w:ind w:left="992" w:hanging="357"/>
        <w:contextualSpacing w:val="0"/>
      </w:pPr>
      <w:r w:rsidRPr="009B5B78">
        <w:t>experience of stakeholders with environmental information (including methods and initiatives used and related experiences and costs) and misleading environmental claims,</w:t>
      </w:r>
    </w:p>
    <w:p w14:paraId="485DC2B2" w14:textId="0890D143" w:rsidR="00D03E64" w:rsidRPr="009B5B78" w:rsidRDefault="00CE7753" w:rsidP="00CE7753">
      <w:pPr>
        <w:pStyle w:val="ListParagraph"/>
        <w:numPr>
          <w:ilvl w:val="0"/>
          <w:numId w:val="27"/>
        </w:numPr>
        <w:tabs>
          <w:tab w:val="left" w:pos="993"/>
        </w:tabs>
        <w:ind w:left="992" w:hanging="357"/>
        <w:contextualSpacing w:val="0"/>
      </w:pPr>
      <w:r w:rsidRPr="009B5B78">
        <w:t>experience of stakeholders with the use of the Product and Organisation Environmental Footprint methods,</w:t>
      </w:r>
    </w:p>
    <w:p w14:paraId="07AF98DF" w14:textId="6BAAE6EE" w:rsidR="00CE7753" w:rsidRPr="00322A0C" w:rsidRDefault="00CE7753" w:rsidP="00762F33">
      <w:pPr>
        <w:pStyle w:val="ListParagraph"/>
        <w:numPr>
          <w:ilvl w:val="0"/>
          <w:numId w:val="27"/>
        </w:numPr>
        <w:tabs>
          <w:tab w:val="left" w:pos="993"/>
        </w:tabs>
        <w:ind w:left="992" w:hanging="357"/>
        <w:contextualSpacing w:val="0"/>
      </w:pPr>
      <w:r w:rsidRPr="009B5B78">
        <w:t>potential policy uses of the Environmental Footprint methods</w:t>
      </w:r>
      <w:r w:rsidRPr="00322A0C">
        <w:t xml:space="preserve"> </w:t>
      </w:r>
    </w:p>
    <w:p w14:paraId="2E23F831" w14:textId="2CC0C90A" w:rsidR="00CE7753" w:rsidRPr="009B5B78" w:rsidRDefault="006A034E" w:rsidP="00CE7753">
      <w:pPr>
        <w:pStyle w:val="ListParagraph"/>
        <w:numPr>
          <w:ilvl w:val="0"/>
          <w:numId w:val="27"/>
        </w:numPr>
        <w:tabs>
          <w:tab w:val="left" w:pos="993"/>
        </w:tabs>
        <w:ind w:left="992" w:hanging="357"/>
        <w:contextualSpacing w:val="0"/>
      </w:pPr>
      <w:r w:rsidRPr="009B5B78">
        <w:t>A</w:t>
      </w:r>
      <w:r w:rsidR="00CE7753" w:rsidRPr="009B5B78">
        <w:t xml:space="preserve"> survey targeted to SMEs focused on understanding</w:t>
      </w:r>
      <w:r w:rsidRPr="009B5B78">
        <w:t>: (i)</w:t>
      </w:r>
      <w:r w:rsidR="00CE7753" w:rsidRPr="009B5B78">
        <w:t xml:space="preserve"> the importance of environmental issues for SMEs and their coverage by them, </w:t>
      </w:r>
      <w:r w:rsidRPr="009B5B78">
        <w:t xml:space="preserve">(ii) </w:t>
      </w:r>
      <w:r w:rsidR="00CE7753" w:rsidRPr="009B5B78">
        <w:t xml:space="preserve">the demand for environmental information and how SMEs meet it, </w:t>
      </w:r>
      <w:r w:rsidRPr="009B5B78">
        <w:t xml:space="preserve">(iii) the </w:t>
      </w:r>
      <w:r w:rsidR="00CE7753" w:rsidRPr="009B5B78">
        <w:t xml:space="preserve">awareness about the Environmental Footprint methods and its specificities, </w:t>
      </w:r>
      <w:r w:rsidRPr="009B5B78">
        <w:t xml:space="preserve">(iv) </w:t>
      </w:r>
      <w:r w:rsidR="00CE7753" w:rsidRPr="009B5B78">
        <w:t xml:space="preserve">obstacles in using Life Cycle Assessment. </w:t>
      </w:r>
    </w:p>
    <w:p w14:paraId="322A116D" w14:textId="166A1EBE" w:rsidR="00CE7753" w:rsidRPr="009B5B78" w:rsidRDefault="00CE7753" w:rsidP="00762F33">
      <w:pPr>
        <w:tabs>
          <w:tab w:val="left" w:pos="993"/>
        </w:tabs>
      </w:pPr>
      <w:r w:rsidRPr="009B5B78">
        <w:t>The results are available on the website</w:t>
      </w:r>
      <w:r w:rsidRPr="009B5B78">
        <w:rPr>
          <w:rStyle w:val="FootnoteReference"/>
        </w:rPr>
        <w:footnoteReference w:id="19"/>
      </w:r>
      <w:r w:rsidRPr="009B5B78">
        <w:t>.</w:t>
      </w:r>
    </w:p>
    <w:p w14:paraId="3105F9A9" w14:textId="73F51930" w:rsidR="004B6EFC" w:rsidRPr="00A17CCB" w:rsidRDefault="00393DFD" w:rsidP="00122515">
      <w:pPr>
        <w:pStyle w:val="Heading2"/>
      </w:pPr>
      <w:r w:rsidRPr="00A17CCB">
        <w:t>Communicating to consumers</w:t>
      </w:r>
    </w:p>
    <w:p w14:paraId="4E064C8D" w14:textId="1DF54EFD" w:rsidR="00393DFD" w:rsidRPr="00A17CCB" w:rsidRDefault="00393DFD" w:rsidP="004B6EFC">
      <w:pPr>
        <w:pStyle w:val="Text1"/>
      </w:pPr>
      <w:r w:rsidRPr="00A17CCB">
        <w:t>DG Environment commissioned a study</w:t>
      </w:r>
      <w:r w:rsidR="00067C4B" w:rsidRPr="00A17CCB">
        <w:rPr>
          <w:rStyle w:val="FootnoteReference"/>
        </w:rPr>
        <w:footnoteReference w:id="20"/>
      </w:r>
      <w:r w:rsidRPr="00A17CCB">
        <w:t xml:space="preserve"> to understand which </w:t>
      </w:r>
      <w:r w:rsidR="006A034E" w:rsidRPr="009B5B78">
        <w:t xml:space="preserve">was </w:t>
      </w:r>
      <w:r w:rsidRPr="00A17CCB">
        <w:t xml:space="preserve">the information generated based on PEF </w:t>
      </w:r>
      <w:r w:rsidR="006A034E" w:rsidRPr="009B5B78">
        <w:t>studies</w:t>
      </w:r>
      <w:r w:rsidRPr="009B5B78">
        <w:t xml:space="preserve"> </w:t>
      </w:r>
      <w:r w:rsidRPr="00A17CCB">
        <w:t xml:space="preserve">that would be effective in guiding consumers purchasing decisions, </w:t>
      </w:r>
      <w:r w:rsidR="006A034E" w:rsidRPr="009B5B78">
        <w:t xml:space="preserve">capture </w:t>
      </w:r>
      <w:r w:rsidRPr="00A17CCB">
        <w:t xml:space="preserve">their attention and be understood. The study built on the results of the communication tests </w:t>
      </w:r>
      <w:r w:rsidR="006A034E" w:rsidRPr="009B5B78">
        <w:t>carried</w:t>
      </w:r>
      <w:r w:rsidR="00A17CCB">
        <w:t xml:space="preserve"> </w:t>
      </w:r>
      <w:r w:rsidR="006A034E" w:rsidRPr="009B5B78">
        <w:t xml:space="preserve">out </w:t>
      </w:r>
      <w:r w:rsidRPr="00A17CCB">
        <w:t xml:space="preserve">during the pilot phase. It did not test any label formats. </w:t>
      </w:r>
    </w:p>
    <w:p w14:paraId="49353AA4" w14:textId="2E071AD9" w:rsidR="004B6EFC" w:rsidRPr="00A17CCB" w:rsidRDefault="00393DFD" w:rsidP="004B6EFC">
      <w:pPr>
        <w:pStyle w:val="Text1"/>
      </w:pPr>
      <w:r w:rsidRPr="00A17CCB">
        <w:t>When information is available to compare performances between similar products</w:t>
      </w:r>
      <w:r w:rsidR="003E19FA" w:rsidRPr="00A17CCB">
        <w:t xml:space="preserve"> (a PEFCR is available)</w:t>
      </w:r>
      <w:r w:rsidRPr="00A17CCB">
        <w:t>, the tests foun</w:t>
      </w:r>
      <w:r w:rsidR="003E19FA" w:rsidRPr="00A17CCB">
        <w:t>d that</w:t>
      </w:r>
      <w:r w:rsidR="00AD71FE" w:rsidRPr="009B5B78">
        <w:t>:</w:t>
      </w:r>
    </w:p>
    <w:p w14:paraId="14B36ED7" w14:textId="218B2475" w:rsidR="003E19FA" w:rsidRPr="00A17CCB" w:rsidRDefault="003E19FA" w:rsidP="003E19FA">
      <w:pPr>
        <w:pStyle w:val="Text1"/>
        <w:numPr>
          <w:ilvl w:val="0"/>
          <w:numId w:val="36"/>
        </w:numPr>
      </w:pPr>
      <w:r w:rsidRPr="00A17CCB">
        <w:t>PEF information is effective in guiding choices towards more environmentally friendly alternatives independently of the format used (11.5% points more choice for better than average);</w:t>
      </w:r>
    </w:p>
    <w:p w14:paraId="0419BC37" w14:textId="59433125" w:rsidR="003E19FA" w:rsidRPr="00A17CCB" w:rsidRDefault="003E19FA" w:rsidP="003E19FA">
      <w:pPr>
        <w:pStyle w:val="Text1"/>
        <w:numPr>
          <w:ilvl w:val="0"/>
          <w:numId w:val="36"/>
        </w:numPr>
      </w:pPr>
      <w:r w:rsidRPr="009B5B78">
        <w:t>A</w:t>
      </w:r>
      <w:r w:rsidR="00AD71FE" w:rsidRPr="009B5B78">
        <w:t>ll</w:t>
      </w:r>
      <w:r w:rsidRPr="00A17CCB">
        <w:t xml:space="preserve"> information elements were effective;</w:t>
      </w:r>
    </w:p>
    <w:p w14:paraId="103EBD2B" w14:textId="0404C5BF" w:rsidR="003E19FA" w:rsidRPr="00A17CCB" w:rsidRDefault="003E19FA" w:rsidP="003E19FA">
      <w:pPr>
        <w:pStyle w:val="Text1"/>
        <w:numPr>
          <w:ilvl w:val="0"/>
          <w:numId w:val="36"/>
        </w:numPr>
      </w:pPr>
      <w:r w:rsidRPr="00A17CCB">
        <w:t>PEF information is understood, perceived as useful and relevant, trusted to be accurate;</w:t>
      </w:r>
    </w:p>
    <w:p w14:paraId="578F17D7" w14:textId="24B2D4BF" w:rsidR="003E19FA" w:rsidRPr="00A17CCB" w:rsidRDefault="003E19FA" w:rsidP="003E19FA">
      <w:pPr>
        <w:pStyle w:val="Text1"/>
        <w:numPr>
          <w:ilvl w:val="0"/>
          <w:numId w:val="36"/>
        </w:numPr>
      </w:pPr>
      <w:r w:rsidRPr="00A17CCB">
        <w:t>Most popular information and best likely combination was that of communicating the single score and most relevant impact categories;</w:t>
      </w:r>
    </w:p>
    <w:p w14:paraId="7B985848" w14:textId="7F1D6017" w:rsidR="003E19FA" w:rsidRPr="00A17CCB" w:rsidRDefault="003E19FA" w:rsidP="003E19FA">
      <w:pPr>
        <w:pStyle w:val="Text1"/>
        <w:numPr>
          <w:ilvl w:val="0"/>
          <w:numId w:val="36"/>
        </w:numPr>
      </w:pPr>
      <w:r w:rsidRPr="00A17CCB">
        <w:t>Simpler formats were more understood and trusted, but less effective in guiding purchasing choices or drawing attention;</w:t>
      </w:r>
    </w:p>
    <w:p w14:paraId="24FC56AE" w14:textId="6CE39D4E" w:rsidR="003E19FA" w:rsidRPr="00A17CCB" w:rsidRDefault="003E19FA" w:rsidP="003E19FA">
      <w:pPr>
        <w:pStyle w:val="Text1"/>
        <w:numPr>
          <w:ilvl w:val="0"/>
          <w:numId w:val="36"/>
        </w:numPr>
      </w:pPr>
      <w:r w:rsidRPr="00A17CCB">
        <w:t xml:space="preserve">Providing information on the PEF beforehand improves product choice, attention, understanding, perceived usefulness and trust in the information. </w:t>
      </w:r>
    </w:p>
    <w:p w14:paraId="1ECB0A62" w14:textId="2DD552B7" w:rsidR="003E19FA" w:rsidRPr="00A17CCB" w:rsidRDefault="003E19FA" w:rsidP="003E19FA">
      <w:pPr>
        <w:pStyle w:val="Text1"/>
      </w:pPr>
      <w:r w:rsidRPr="00A17CCB">
        <w:lastRenderedPageBreak/>
        <w:t>In cases where no PEFCR was available</w:t>
      </w:r>
      <w:r w:rsidR="00AD71FE" w:rsidRPr="009B5B78">
        <w:t>,</w:t>
      </w:r>
      <w:r w:rsidRPr="00A17CCB">
        <w:t xml:space="preserve"> tests concluded that:</w:t>
      </w:r>
    </w:p>
    <w:p w14:paraId="6BD2FAAA" w14:textId="0F4496C4" w:rsidR="003E19FA" w:rsidRPr="00A17CCB" w:rsidRDefault="003E19FA" w:rsidP="003E19FA">
      <w:pPr>
        <w:pStyle w:val="Text1"/>
        <w:numPr>
          <w:ilvl w:val="0"/>
          <w:numId w:val="37"/>
        </w:numPr>
      </w:pPr>
      <w:r w:rsidRPr="00A17CCB">
        <w:t>Consumers of high level of environmental concern assigned more credibility to PEF-based claims, but in general, products with environmental claims were perceived as more environmentally friendly, independently of how they were substantiated.</w:t>
      </w:r>
    </w:p>
    <w:p w14:paraId="55589386" w14:textId="0C0A0A32" w:rsidR="003E19FA" w:rsidRPr="00A17CCB" w:rsidRDefault="003E19FA" w:rsidP="003E19FA">
      <w:pPr>
        <w:pStyle w:val="Text1"/>
        <w:numPr>
          <w:ilvl w:val="0"/>
          <w:numId w:val="37"/>
        </w:numPr>
      </w:pPr>
      <w:r w:rsidRPr="00A17CCB">
        <w:t>If PEF-based claims were widely present in an assortment, products with PEF-based claims were perceived as more attractive.</w:t>
      </w:r>
    </w:p>
    <w:p w14:paraId="1D35DCB0" w14:textId="134EC284" w:rsidR="003E19FA" w:rsidRPr="00A17CCB" w:rsidRDefault="003E19FA" w:rsidP="002C29F3">
      <w:pPr>
        <w:pStyle w:val="Text1"/>
        <w:numPr>
          <w:ilvl w:val="0"/>
          <w:numId w:val="37"/>
        </w:numPr>
      </w:pPr>
      <w:r w:rsidRPr="00A17CCB">
        <w:t>Qualitative claims were easiest to understand (e.g. “We prevent excess algae growth by cooling the heated water from our palm oil plantations before it flows back into the rivers, helping to maintain necessary oxygen levels.”)</w:t>
      </w:r>
      <w:r w:rsidR="00802B3B" w:rsidRPr="00A17CCB">
        <w:t>.</w:t>
      </w:r>
    </w:p>
    <w:p w14:paraId="68F8F580" w14:textId="5D207A4F" w:rsidR="00663580" w:rsidRPr="009B5B78" w:rsidRDefault="00663580" w:rsidP="00663580">
      <w:pPr>
        <w:pStyle w:val="Text1"/>
        <w:rPr>
          <w:highlight w:val="yellow"/>
        </w:rPr>
      </w:pPr>
      <w:r w:rsidRPr="009B5B78">
        <w:t>Issues arising during the communication of environmental information to consumers are also examined within the framework of an initiative to improve consumer information and strengthen consumer protection against commercial practices that run counter to Green Deal and CEAP objectives, e.g. ‘greenwashing’ and early obsolescence</w:t>
      </w:r>
      <w:r w:rsidRPr="009B5B78">
        <w:rPr>
          <w:rStyle w:val="FootnoteReference"/>
        </w:rPr>
        <w:footnoteReference w:id="21"/>
      </w:r>
      <w:r w:rsidRPr="009B5B78">
        <w:t xml:space="preserve">. </w:t>
      </w:r>
      <w:r w:rsidR="00A17CCB">
        <w:t>Policy options under the two initiatives will be def</w:t>
      </w:r>
      <w:r w:rsidR="00F3382E">
        <w:t>ined in a complementary manner.</w:t>
      </w:r>
    </w:p>
    <w:p w14:paraId="3CC7C4C1" w14:textId="7F54AD2A" w:rsidR="009507EF" w:rsidRPr="009B5B78" w:rsidRDefault="009507EF" w:rsidP="00B7428E">
      <w:pPr>
        <w:pStyle w:val="Text1"/>
        <w:ind w:left="1202"/>
      </w:pPr>
    </w:p>
    <w:sectPr w:rsidR="009507EF" w:rsidRPr="009B5B78">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3CCC6" w14:textId="77777777" w:rsidR="006B1498" w:rsidRDefault="006B1498">
      <w:pPr>
        <w:spacing w:after="0"/>
      </w:pPr>
      <w:r>
        <w:separator/>
      </w:r>
    </w:p>
  </w:endnote>
  <w:endnote w:type="continuationSeparator" w:id="0">
    <w:p w14:paraId="5E247E32" w14:textId="77777777" w:rsidR="006B1498" w:rsidRDefault="006B1498">
      <w:pPr>
        <w:spacing w:after="0"/>
      </w:pPr>
      <w:r>
        <w:continuationSeparator/>
      </w:r>
    </w:p>
  </w:endnote>
  <w:endnote w:type="continuationNotice" w:id="1">
    <w:p w14:paraId="55AC2CD5" w14:textId="77777777" w:rsidR="006B1498" w:rsidRDefault="006B14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B0604020202020204"/>
    <w:charset w:val="00"/>
    <w:family w:val="roman"/>
    <w:notTrueType/>
    <w:pitch w:val="default"/>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C76A7" w14:textId="02994997" w:rsidR="00A96C16" w:rsidRDefault="00734D83">
    <w:pPr>
      <w:pStyle w:val="Footer"/>
      <w:jc w:val="center"/>
    </w:pPr>
    <w:r>
      <w:fldChar w:fldCharType="begin"/>
    </w:r>
    <w:r>
      <w:instrText>PAGE   \* MERGEFORMAT</w:instrText>
    </w:r>
    <w:r>
      <w:fldChar w:fldCharType="separate"/>
    </w:r>
    <w:r w:rsidR="005225C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A3D01" w14:textId="000F3518" w:rsidR="00A96C16" w:rsidRDefault="00734D83">
    <w:pPr>
      <w:pStyle w:val="Footer"/>
      <w:jc w:val="center"/>
    </w:pPr>
    <w:r>
      <w:fldChar w:fldCharType="begin"/>
    </w:r>
    <w:r>
      <w:instrText>PAGE   \* MERGEFORMAT</w:instrText>
    </w:r>
    <w:r>
      <w:fldChar w:fldCharType="separate"/>
    </w:r>
    <w:r w:rsidR="005225C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C09F8" w14:textId="77777777" w:rsidR="00A96C16" w:rsidRDefault="00A96C16" w:rsidP="00734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71FFA" w14:textId="77777777" w:rsidR="006B1498" w:rsidRDefault="006B1498">
      <w:pPr>
        <w:spacing w:after="0"/>
      </w:pPr>
      <w:r>
        <w:separator/>
      </w:r>
    </w:p>
  </w:footnote>
  <w:footnote w:type="continuationSeparator" w:id="0">
    <w:p w14:paraId="267AD7C4" w14:textId="77777777" w:rsidR="006B1498" w:rsidRDefault="006B1498">
      <w:pPr>
        <w:spacing w:after="0"/>
      </w:pPr>
      <w:r>
        <w:continuationSeparator/>
      </w:r>
    </w:p>
  </w:footnote>
  <w:footnote w:type="continuationNotice" w:id="1">
    <w:p w14:paraId="08FE55BD" w14:textId="77777777" w:rsidR="006B1498" w:rsidRDefault="006B1498">
      <w:pPr>
        <w:spacing w:after="0"/>
      </w:pPr>
    </w:p>
  </w:footnote>
  <w:footnote w:id="2">
    <w:p w14:paraId="57CAA185" w14:textId="77777777" w:rsidR="008F4FA1" w:rsidRPr="006D54E9" w:rsidRDefault="008F4FA1" w:rsidP="00B653A8">
      <w:pPr>
        <w:pStyle w:val="FootnoteText"/>
        <w:spacing w:after="0"/>
      </w:pPr>
      <w:r>
        <w:rPr>
          <w:rStyle w:val="FootnoteReference"/>
        </w:rPr>
        <w:footnoteRef/>
      </w:r>
      <w:r w:rsidRPr="006D54E9">
        <w:t xml:space="preserve"> </w:t>
      </w:r>
      <w:r w:rsidRPr="006D54E9">
        <w:tab/>
      </w:r>
      <w:hyperlink r:id="rId1" w:history="1">
        <w:r w:rsidRPr="006D54E9">
          <w:rPr>
            <w:rStyle w:val="Hyperlink"/>
          </w:rPr>
          <w:t>2013/179/EU</w:t>
        </w:r>
      </w:hyperlink>
      <w:r w:rsidRPr="006D54E9">
        <w:t xml:space="preserve"> </w:t>
      </w:r>
    </w:p>
  </w:footnote>
  <w:footnote w:id="3">
    <w:p w14:paraId="13A34EE6" w14:textId="77777777" w:rsidR="008F4FA1" w:rsidRPr="00B50643" w:rsidRDefault="008F4FA1" w:rsidP="00B653A8">
      <w:pPr>
        <w:pStyle w:val="FootnoteText"/>
        <w:spacing w:after="0"/>
      </w:pPr>
      <w:r w:rsidRPr="00B50643">
        <w:rPr>
          <w:rStyle w:val="FootnoteReference"/>
        </w:rPr>
        <w:footnoteRef/>
      </w:r>
      <w:r w:rsidRPr="00B50643">
        <w:t xml:space="preserve"> </w:t>
      </w:r>
      <w:r w:rsidRPr="00B50643">
        <w:tab/>
        <w:t>For products the methodologies assessed were: ISO 14044 (Environmental management -- Life cycle assessment -- Requirements and guidelines), ISO 14067 (carbon footprint of product), ILCD (International Reference Life Cycle Data System), Ecological footprint, Product and Supply Chain Standards Greenhouse Gas Protocol (WRI/ WBCSD), French Environmental Footprint (BPX 30-323), UK’s Product Carbon footprint (PAS 2050), ISO 14025 (Environmental Product Declarations).</w:t>
      </w:r>
    </w:p>
  </w:footnote>
  <w:footnote w:id="4">
    <w:p w14:paraId="7B169063" w14:textId="77777777" w:rsidR="008F4FA1" w:rsidRPr="00B50643" w:rsidRDefault="008F4FA1" w:rsidP="00E66295">
      <w:pPr>
        <w:pStyle w:val="FootnoteText"/>
        <w:spacing w:after="0"/>
      </w:pPr>
      <w:r w:rsidRPr="00B50643">
        <w:rPr>
          <w:rStyle w:val="FootnoteReference"/>
        </w:rPr>
        <w:footnoteRef/>
      </w:r>
      <w:r w:rsidRPr="00B50643">
        <w:t xml:space="preserve"> </w:t>
      </w:r>
      <w:r w:rsidRPr="00B50643">
        <w:tab/>
        <w:t xml:space="preserve">For organisations the methodologies assessed were: ISO 14064 (Greenhouse gases -- Part 1, 2 and 3), ISO/WD TR 14069 (GHG - Quantification and reporting of GHG emissions for </w:t>
      </w:r>
      <w:r>
        <w:t>organisation</w:t>
      </w:r>
      <w:r w:rsidRPr="00B50643">
        <w:t>s), ILCD (International Reference Life Cycle Data System), Corporate Accounting and Reporting Standards Greenhouse Gas Protocol from WRI/ WBCSD, Bilan Carbon, DEFRA - Carbon Disclosure Project (CDP), CDP water, Global Reporting Initiative (GRI).</w:t>
      </w:r>
    </w:p>
  </w:footnote>
  <w:footnote w:id="5">
    <w:p w14:paraId="2BAE2711" w14:textId="77777777" w:rsidR="008F4FA1" w:rsidRPr="00B50643" w:rsidRDefault="008F4FA1" w:rsidP="006D54E9">
      <w:pPr>
        <w:pStyle w:val="FootnoteText"/>
        <w:spacing w:after="0"/>
      </w:pPr>
      <w:r w:rsidRPr="00B50643">
        <w:rPr>
          <w:rStyle w:val="FootnoteReference"/>
        </w:rPr>
        <w:footnoteRef/>
      </w:r>
      <w:r w:rsidRPr="00B50643">
        <w:t xml:space="preserve"> </w:t>
      </w:r>
      <w:r w:rsidRPr="00B50643">
        <w:tab/>
        <w:t xml:space="preserve">The full report is available at: </w:t>
      </w:r>
      <w:hyperlink r:id="rId2" w:history="1">
        <w:r w:rsidRPr="00B50643">
          <w:rPr>
            <w:rStyle w:val="Hyperlink"/>
          </w:rPr>
          <w:t>http://ec.europa.eu/environment/eussd/pdf/Deliverable.pdf</w:t>
        </w:r>
      </w:hyperlink>
      <w:r w:rsidRPr="00B50643">
        <w:t xml:space="preserve"> </w:t>
      </w:r>
    </w:p>
  </w:footnote>
  <w:footnote w:id="6">
    <w:p w14:paraId="531D8FD1" w14:textId="77777777" w:rsidR="008F4FA1" w:rsidRPr="00565A70" w:rsidRDefault="008F4FA1" w:rsidP="008F4FA1">
      <w:pPr>
        <w:pStyle w:val="FootnoteText"/>
      </w:pPr>
      <w:r>
        <w:rPr>
          <w:rStyle w:val="FootnoteReference"/>
        </w:rPr>
        <w:footnoteRef/>
      </w:r>
      <w:r>
        <w:t xml:space="preserve"> </w:t>
      </w:r>
      <w:r>
        <w:tab/>
      </w:r>
      <w:hyperlink r:id="rId3" w:history="1">
        <w:r w:rsidRPr="00293C74">
          <w:rPr>
            <w:rStyle w:val="Hyperlink"/>
            <w:i/>
          </w:rPr>
          <w:t xml:space="preserve">Analysis of Existing Environmental Footprint Methodologies for Products and </w:t>
        </w:r>
        <w:r>
          <w:rPr>
            <w:rStyle w:val="Hyperlink"/>
            <w:i/>
          </w:rPr>
          <w:t>Organisation</w:t>
        </w:r>
        <w:r w:rsidRPr="00293C74">
          <w:rPr>
            <w:rStyle w:val="Hyperlink"/>
            <w:i/>
          </w:rPr>
          <w:t>s: Recommendations, Rationale, and Alignment</w:t>
        </w:r>
      </w:hyperlink>
      <w:r w:rsidRPr="00162163">
        <w:t xml:space="preserve">, </w:t>
      </w:r>
      <w:r>
        <w:t>JRC, 2011.</w:t>
      </w:r>
    </w:p>
  </w:footnote>
  <w:footnote w:id="7">
    <w:p w14:paraId="54A19021" w14:textId="45B7A0AC" w:rsidR="00E30208" w:rsidRDefault="00E30208" w:rsidP="00E30208">
      <w:pPr>
        <w:pStyle w:val="FootnoteText"/>
      </w:pPr>
      <w:r>
        <w:rPr>
          <w:rStyle w:val="FootnoteReference"/>
        </w:rPr>
        <w:footnoteRef/>
      </w:r>
      <w:r>
        <w:t xml:space="preserve"> </w:t>
      </w:r>
      <w:r>
        <w:tab/>
        <w:t xml:space="preserve">Final deliverables of the pilot phase </w:t>
      </w:r>
      <w:r w:rsidR="00DF259C">
        <w:t>are</w:t>
      </w:r>
      <w:r>
        <w:t xml:space="preserve"> available on the website of the initiative: </w:t>
      </w:r>
      <w:hyperlink r:id="rId4" w:history="1">
        <w:r w:rsidR="00DF259C" w:rsidRPr="0017501C">
          <w:rPr>
            <w:rStyle w:val="Hyperlink"/>
          </w:rPr>
          <w:t>http://ec.europa.eu/environment/eussd/smgp/PEFCR_OEFSR_en.htm</w:t>
        </w:r>
      </w:hyperlink>
      <w:r w:rsidR="00DF259C">
        <w:t xml:space="preserve"> </w:t>
      </w:r>
    </w:p>
  </w:footnote>
  <w:footnote w:id="8">
    <w:p w14:paraId="1024CB16" w14:textId="7FA30642" w:rsidR="001E4ABE" w:rsidRPr="001E4ABE" w:rsidRDefault="001E4ABE" w:rsidP="000C143C">
      <w:pPr>
        <w:pStyle w:val="FootnoteText"/>
        <w:spacing w:after="0"/>
      </w:pPr>
      <w:r>
        <w:rPr>
          <w:rStyle w:val="FootnoteReference"/>
        </w:rPr>
        <w:footnoteRef/>
      </w:r>
      <w:r>
        <w:t xml:space="preserve"> </w:t>
      </w:r>
      <w:r>
        <w:tab/>
        <w:t xml:space="preserve">See report: </w:t>
      </w:r>
      <w:r w:rsidRPr="001E4ABE">
        <w:t>https://eplca.jrc.ec.europa.eu/permalink/JRC114227__FINAL_online.pdf</w:t>
      </w:r>
    </w:p>
  </w:footnote>
  <w:footnote w:id="9">
    <w:p w14:paraId="79DF091B" w14:textId="0D9AB51D" w:rsidR="00AA2D7A" w:rsidRPr="007D541B" w:rsidRDefault="00AA2D7A" w:rsidP="00980217">
      <w:pPr>
        <w:pStyle w:val="FootnoteText"/>
        <w:spacing w:after="0"/>
      </w:pPr>
      <w:r>
        <w:rPr>
          <w:rStyle w:val="FootnoteReference"/>
        </w:rPr>
        <w:footnoteRef/>
      </w:r>
      <w:r>
        <w:t xml:space="preserve"> </w:t>
      </w:r>
      <w:r w:rsidR="00980217">
        <w:tab/>
      </w:r>
      <w:r>
        <w:t xml:space="preserve">Find the latest version at </w:t>
      </w:r>
      <w:r w:rsidRPr="007D541B">
        <w:t>https://eplca.jrc.ec.europa.eu/LCDN/developerEF.xhtml</w:t>
      </w:r>
    </w:p>
  </w:footnote>
  <w:footnote w:id="10">
    <w:p w14:paraId="4AF44F04" w14:textId="28E95830" w:rsidR="00867B00" w:rsidRDefault="00867B00" w:rsidP="000C143C">
      <w:pPr>
        <w:pStyle w:val="FootnoteText"/>
        <w:spacing w:after="0"/>
      </w:pPr>
      <w:r>
        <w:rPr>
          <w:rStyle w:val="FootnoteReference"/>
        </w:rPr>
        <w:footnoteRef/>
      </w:r>
      <w:r>
        <w:t xml:space="preserve"> </w:t>
      </w:r>
      <w:r>
        <w:tab/>
      </w:r>
      <w:hyperlink r:id="rId5" w:history="1">
        <w:r w:rsidRPr="006F7C09">
          <w:rPr>
            <w:rStyle w:val="Hyperlink"/>
          </w:rPr>
          <w:t>https://eplca.jrc.ec.europa.eu/permalink/PEF_method.pdf</w:t>
        </w:r>
      </w:hyperlink>
      <w:r>
        <w:t xml:space="preserve"> </w:t>
      </w:r>
    </w:p>
  </w:footnote>
  <w:footnote w:id="11">
    <w:p w14:paraId="75EB9E7E" w14:textId="25ED8488" w:rsidR="001C5838" w:rsidRDefault="001C5838" w:rsidP="000C143C">
      <w:pPr>
        <w:pStyle w:val="FootnoteText"/>
        <w:spacing w:after="0"/>
      </w:pPr>
      <w:r>
        <w:rPr>
          <w:rStyle w:val="FootnoteReference"/>
        </w:rPr>
        <w:footnoteRef/>
      </w:r>
      <w:r>
        <w:t xml:space="preserve"> </w:t>
      </w:r>
      <w:r>
        <w:tab/>
      </w:r>
      <w:hyperlink r:id="rId6" w:history="1">
        <w:r w:rsidRPr="006F7C09">
          <w:rPr>
            <w:rStyle w:val="Hyperlink"/>
          </w:rPr>
          <w:t>https://eplca.jrc.ec.europa.eu//EnvironmentalFootprint.html</w:t>
        </w:r>
      </w:hyperlink>
      <w:r>
        <w:t xml:space="preserve"> </w:t>
      </w:r>
    </w:p>
  </w:footnote>
  <w:footnote w:id="12">
    <w:p w14:paraId="360B7271" w14:textId="77777777" w:rsidR="00E30208" w:rsidRDefault="00E30208" w:rsidP="00F3382E">
      <w:pPr>
        <w:pStyle w:val="FootnoteText"/>
        <w:spacing w:after="0"/>
      </w:pPr>
      <w:r>
        <w:rPr>
          <w:rStyle w:val="FootnoteReference"/>
        </w:rPr>
        <w:footnoteRef/>
      </w:r>
      <w:r>
        <w:t xml:space="preserve"> </w:t>
      </w:r>
      <w:r>
        <w:tab/>
      </w:r>
      <w:hyperlink r:id="rId7" w:history="1">
        <w:r>
          <w:rPr>
            <w:rStyle w:val="Hyperlink"/>
          </w:rPr>
          <w:t>Final report of the Environmental Footprint pilot peer reviewers</w:t>
        </w:r>
      </w:hyperlink>
      <w:r>
        <w:t xml:space="preserve"> </w:t>
      </w:r>
    </w:p>
  </w:footnote>
  <w:footnote w:id="13">
    <w:p w14:paraId="7032307D" w14:textId="77777777" w:rsidR="00E30208" w:rsidRDefault="00E30208" w:rsidP="000C143C">
      <w:pPr>
        <w:pStyle w:val="FootnoteText"/>
        <w:spacing w:after="0"/>
      </w:pPr>
      <w:r>
        <w:rPr>
          <w:rStyle w:val="FootnoteReference"/>
        </w:rPr>
        <w:footnoteRef/>
      </w:r>
      <w:r>
        <w:t xml:space="preserve"> </w:t>
      </w:r>
      <w:r>
        <w:tab/>
      </w:r>
      <w:hyperlink r:id="rId8" w:history="1">
        <w:r>
          <w:rPr>
            <w:rStyle w:val="Hyperlink"/>
          </w:rPr>
          <w:t>Final report on the verification stage</w:t>
        </w:r>
      </w:hyperlink>
      <w:r>
        <w:t>, Ernst &amp; Young 2017</w:t>
      </w:r>
    </w:p>
  </w:footnote>
  <w:footnote w:id="14">
    <w:p w14:paraId="507B2AA3" w14:textId="77777777" w:rsidR="00E30208" w:rsidRDefault="00E30208" w:rsidP="000C143C">
      <w:pPr>
        <w:pStyle w:val="FootnoteText"/>
        <w:spacing w:after="0"/>
      </w:pPr>
      <w:r>
        <w:rPr>
          <w:rStyle w:val="FootnoteReference"/>
        </w:rPr>
        <w:footnoteRef/>
      </w:r>
      <w:r>
        <w:t xml:space="preserve"> </w:t>
      </w:r>
      <w:r>
        <w:tab/>
      </w:r>
      <w:hyperlink r:id="rId9" w:history="1">
        <w:r>
          <w:rPr>
            <w:rStyle w:val="Hyperlink"/>
          </w:rPr>
          <w:t>Technical evaluation of the EU Environmental Footprint pilot phase</w:t>
        </w:r>
      </w:hyperlink>
    </w:p>
  </w:footnote>
  <w:footnote w:id="15">
    <w:p w14:paraId="365C7780" w14:textId="77777777" w:rsidR="0017089B" w:rsidRDefault="0017089B" w:rsidP="0017089B">
      <w:pPr>
        <w:pStyle w:val="FootnoteText"/>
      </w:pPr>
      <w:r>
        <w:rPr>
          <w:rStyle w:val="FootnoteReference"/>
        </w:rPr>
        <w:footnoteRef/>
      </w:r>
      <w:r>
        <w:t xml:space="preserve"> </w:t>
      </w:r>
      <w:r>
        <w:tab/>
      </w:r>
      <w:hyperlink r:id="rId10" w:history="1">
        <w:r w:rsidRPr="00903940">
          <w:rPr>
            <w:rStyle w:val="Hyperlink"/>
          </w:rPr>
          <w:t>Final report on the assessment of different communication vehicles for providing Environmental Footprint information</w:t>
        </w:r>
      </w:hyperlink>
      <w:r>
        <w:t xml:space="preserve"> (2018)</w:t>
      </w:r>
    </w:p>
  </w:footnote>
  <w:footnote w:id="16">
    <w:p w14:paraId="25AC8DBF" w14:textId="6C44C3E8" w:rsidR="00405995" w:rsidRDefault="00405995" w:rsidP="003A1AB4">
      <w:pPr>
        <w:pStyle w:val="FootnoteText"/>
        <w:spacing w:after="0"/>
      </w:pPr>
      <w:r>
        <w:rPr>
          <w:rStyle w:val="FootnoteReference"/>
        </w:rPr>
        <w:footnoteRef/>
      </w:r>
      <w:r>
        <w:t xml:space="preserve"> </w:t>
      </w:r>
      <w:r>
        <w:tab/>
      </w:r>
      <w:hyperlink r:id="rId11" w:history="1">
        <w:r w:rsidRPr="006F7C09">
          <w:rPr>
            <w:rStyle w:val="Hyperlink"/>
          </w:rPr>
          <w:t>https://ec.europa.eu/environment/eussd/smgp/ef_transition.htm</w:t>
        </w:r>
      </w:hyperlink>
      <w:r>
        <w:t xml:space="preserve"> </w:t>
      </w:r>
    </w:p>
  </w:footnote>
  <w:footnote w:id="17">
    <w:p w14:paraId="116D8A84" w14:textId="3A7B0773" w:rsidR="001A3931" w:rsidRPr="001A3931" w:rsidRDefault="001A3931" w:rsidP="001A3931">
      <w:pPr>
        <w:pStyle w:val="FootnoteText"/>
        <w:spacing w:after="0"/>
      </w:pPr>
      <w:r>
        <w:rPr>
          <w:rStyle w:val="FootnoteReference"/>
        </w:rPr>
        <w:footnoteRef/>
      </w:r>
      <w:r>
        <w:t xml:space="preserve"> </w:t>
      </w:r>
      <w:r>
        <w:tab/>
        <w:t xml:space="preserve">See </w:t>
      </w:r>
      <w:r w:rsidRPr="001A3931">
        <w:t>https://eplca.jrc.ec.europa.eu//EnvironmentalFootprint.html</w:t>
      </w:r>
    </w:p>
  </w:footnote>
  <w:footnote w:id="18">
    <w:p w14:paraId="06DB2CBF" w14:textId="7C000104" w:rsidR="001A3931" w:rsidRPr="001A3931" w:rsidRDefault="001A3931">
      <w:pPr>
        <w:pStyle w:val="FootnoteText"/>
      </w:pPr>
      <w:r>
        <w:rPr>
          <w:rStyle w:val="FootnoteReference"/>
        </w:rPr>
        <w:footnoteRef/>
      </w:r>
      <w:r>
        <w:t xml:space="preserve"> </w:t>
      </w:r>
      <w:r>
        <w:tab/>
        <w:t>Self-declaration by software developers that the software is in line with specific elements of the Environmental Footprint framework</w:t>
      </w:r>
    </w:p>
  </w:footnote>
  <w:footnote w:id="19">
    <w:p w14:paraId="75E5BA75" w14:textId="28D206CC" w:rsidR="00CE7753" w:rsidRDefault="00CE7753" w:rsidP="00A17CCB">
      <w:pPr>
        <w:pStyle w:val="FootnoteText"/>
        <w:spacing w:after="0"/>
      </w:pPr>
      <w:r>
        <w:rPr>
          <w:rStyle w:val="FootnoteReference"/>
        </w:rPr>
        <w:footnoteRef/>
      </w:r>
      <w:r>
        <w:t xml:space="preserve"> </w:t>
      </w:r>
      <w:r>
        <w:tab/>
      </w:r>
      <w:hyperlink r:id="rId12" w:history="1">
        <w:r w:rsidRPr="006F7C09">
          <w:rPr>
            <w:rStyle w:val="Hyperlink"/>
          </w:rPr>
          <w:t>https://ec.europa.eu/environment/eussd/smgp/pdf/EF_stakeholdercons19.pdf</w:t>
        </w:r>
      </w:hyperlink>
      <w:r>
        <w:t xml:space="preserve"> </w:t>
      </w:r>
    </w:p>
  </w:footnote>
  <w:footnote w:id="20">
    <w:p w14:paraId="1F987783" w14:textId="44FF0F8E" w:rsidR="00067C4B" w:rsidRDefault="00067C4B">
      <w:pPr>
        <w:pStyle w:val="FootnoteText"/>
      </w:pPr>
      <w:r>
        <w:rPr>
          <w:rStyle w:val="FootnoteReference"/>
        </w:rPr>
        <w:footnoteRef/>
      </w:r>
      <w:r>
        <w:t xml:space="preserve"> </w:t>
      </w:r>
      <w:r>
        <w:tab/>
        <w:t xml:space="preserve">Read the report: </w:t>
      </w:r>
      <w:hyperlink r:id="rId13" w:history="1">
        <w:r w:rsidRPr="006F7C09">
          <w:rPr>
            <w:rStyle w:val="Hyperlink"/>
          </w:rPr>
          <w:t>https://ec.europa.eu/environment/eussd/smgp/pdf/2019_EF_commtest_report.pdf</w:t>
        </w:r>
      </w:hyperlink>
      <w:r>
        <w:t xml:space="preserve"> </w:t>
      </w:r>
    </w:p>
  </w:footnote>
  <w:footnote w:id="21">
    <w:p w14:paraId="6E3B892C" w14:textId="77777777" w:rsidR="00663580" w:rsidRDefault="00663580" w:rsidP="00663580">
      <w:pPr>
        <w:pStyle w:val="FootnoteText"/>
      </w:pPr>
      <w:r>
        <w:rPr>
          <w:rStyle w:val="FootnoteReference"/>
        </w:rPr>
        <w:footnoteRef/>
      </w:r>
      <w:r>
        <w:t xml:space="preserve"> </w:t>
      </w:r>
      <w:r>
        <w:tab/>
      </w:r>
      <w:r w:rsidRPr="00663580">
        <w:t>https://ec.europa.eu/info/law/better-regulation/have-your-say/initiatives/12467-Empowering-the-consumer-for-the-green-transition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B562D" w14:textId="77777777" w:rsidR="00A96C16" w:rsidRDefault="00A96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9F801" w14:textId="77777777" w:rsidR="00A96C16" w:rsidRDefault="00A96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CFFF5" w14:textId="77777777" w:rsidR="00A96C16" w:rsidRDefault="00A96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F296FA"/>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540098"/>
    <w:multiLevelType w:val="hybridMultilevel"/>
    <w:tmpl w:val="FFE0DC9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7" w15:restartNumberingAfterBreak="0">
    <w:nsid w:val="139438CC"/>
    <w:multiLevelType w:val="multilevel"/>
    <w:tmpl w:val="A7DC47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9"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7764F43"/>
    <w:multiLevelType w:val="hybridMultilevel"/>
    <w:tmpl w:val="F17EF10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1"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1C7F78D9"/>
    <w:multiLevelType w:val="hybridMultilevel"/>
    <w:tmpl w:val="EBACC20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3" w15:restartNumberingAfterBreak="0">
    <w:nsid w:val="299449AF"/>
    <w:multiLevelType w:val="hybridMultilevel"/>
    <w:tmpl w:val="122093A0"/>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4"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246FF4"/>
    <w:multiLevelType w:val="hybridMultilevel"/>
    <w:tmpl w:val="30F2FDD6"/>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7"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DF5311F"/>
    <w:multiLevelType w:val="hybridMultilevel"/>
    <w:tmpl w:val="4020996A"/>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1" w15:restartNumberingAfterBreak="0">
    <w:nsid w:val="3E7E1BD2"/>
    <w:multiLevelType w:val="hybridMultilevel"/>
    <w:tmpl w:val="1324AE94"/>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22" w15:restartNumberingAfterBreak="0">
    <w:nsid w:val="40BC2693"/>
    <w:multiLevelType w:val="hybridMultilevel"/>
    <w:tmpl w:val="60E6CA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867EEF"/>
    <w:multiLevelType w:val="hybridMultilevel"/>
    <w:tmpl w:val="D6F06CF4"/>
    <w:lvl w:ilvl="0" w:tplc="08090001">
      <w:start w:val="1"/>
      <w:numFmt w:val="bullet"/>
      <w:lvlText w:val=""/>
      <w:lvlJc w:val="left"/>
      <w:pPr>
        <w:ind w:left="995" w:hanging="360"/>
      </w:pPr>
      <w:rPr>
        <w:rFonts w:ascii="Symbol" w:hAnsi="Symbol" w:hint="default"/>
      </w:rPr>
    </w:lvl>
    <w:lvl w:ilvl="1" w:tplc="08090003">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26" w15:restartNumberingAfterBreak="0">
    <w:nsid w:val="46E22113"/>
    <w:multiLevelType w:val="hybridMultilevel"/>
    <w:tmpl w:val="0F6AC77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7" w15:restartNumberingAfterBreak="0">
    <w:nsid w:val="47C0668A"/>
    <w:multiLevelType w:val="hybridMultilevel"/>
    <w:tmpl w:val="0BDC3DC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8" w15:restartNumberingAfterBreak="0">
    <w:nsid w:val="48F34D1A"/>
    <w:multiLevelType w:val="hybridMultilevel"/>
    <w:tmpl w:val="64904988"/>
    <w:lvl w:ilvl="0" w:tplc="1BDC4CDE">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9" w15:restartNumberingAfterBreak="0">
    <w:nsid w:val="4A031A3D"/>
    <w:multiLevelType w:val="hybridMultilevel"/>
    <w:tmpl w:val="7682D142"/>
    <w:lvl w:ilvl="0" w:tplc="0809000F">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30"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52DA3085"/>
    <w:multiLevelType w:val="hybridMultilevel"/>
    <w:tmpl w:val="530A04DE"/>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3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6E117A8"/>
    <w:multiLevelType w:val="hybridMultilevel"/>
    <w:tmpl w:val="6AB2CB3C"/>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35"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3431D17"/>
    <w:multiLevelType w:val="hybridMultilevel"/>
    <w:tmpl w:val="6430FF56"/>
    <w:lvl w:ilvl="0" w:tplc="08090001">
      <w:start w:val="1"/>
      <w:numFmt w:val="bullet"/>
      <w:lvlText w:val=""/>
      <w:lvlJc w:val="left"/>
      <w:pPr>
        <w:ind w:left="1562" w:hanging="360"/>
      </w:pPr>
      <w:rPr>
        <w:rFonts w:ascii="Symbol" w:hAnsi="Symbol" w:hint="default"/>
      </w:rPr>
    </w:lvl>
    <w:lvl w:ilvl="1" w:tplc="08090003" w:tentative="1">
      <w:start w:val="1"/>
      <w:numFmt w:val="bullet"/>
      <w:lvlText w:val="o"/>
      <w:lvlJc w:val="left"/>
      <w:pPr>
        <w:ind w:left="2282" w:hanging="360"/>
      </w:pPr>
      <w:rPr>
        <w:rFonts w:ascii="Courier New" w:hAnsi="Courier New" w:cs="Courier New" w:hint="default"/>
      </w:rPr>
    </w:lvl>
    <w:lvl w:ilvl="2" w:tplc="08090005" w:tentative="1">
      <w:start w:val="1"/>
      <w:numFmt w:val="bullet"/>
      <w:lvlText w:val=""/>
      <w:lvlJc w:val="left"/>
      <w:pPr>
        <w:ind w:left="3002" w:hanging="360"/>
      </w:pPr>
      <w:rPr>
        <w:rFonts w:ascii="Wingdings" w:hAnsi="Wingdings" w:hint="default"/>
      </w:rPr>
    </w:lvl>
    <w:lvl w:ilvl="3" w:tplc="08090001" w:tentative="1">
      <w:start w:val="1"/>
      <w:numFmt w:val="bullet"/>
      <w:lvlText w:val=""/>
      <w:lvlJc w:val="left"/>
      <w:pPr>
        <w:ind w:left="3722" w:hanging="360"/>
      </w:pPr>
      <w:rPr>
        <w:rFonts w:ascii="Symbol" w:hAnsi="Symbol" w:hint="default"/>
      </w:rPr>
    </w:lvl>
    <w:lvl w:ilvl="4" w:tplc="08090003" w:tentative="1">
      <w:start w:val="1"/>
      <w:numFmt w:val="bullet"/>
      <w:lvlText w:val="o"/>
      <w:lvlJc w:val="left"/>
      <w:pPr>
        <w:ind w:left="4442" w:hanging="360"/>
      </w:pPr>
      <w:rPr>
        <w:rFonts w:ascii="Courier New" w:hAnsi="Courier New" w:cs="Courier New" w:hint="default"/>
      </w:rPr>
    </w:lvl>
    <w:lvl w:ilvl="5" w:tplc="08090005" w:tentative="1">
      <w:start w:val="1"/>
      <w:numFmt w:val="bullet"/>
      <w:lvlText w:val=""/>
      <w:lvlJc w:val="left"/>
      <w:pPr>
        <w:ind w:left="5162" w:hanging="360"/>
      </w:pPr>
      <w:rPr>
        <w:rFonts w:ascii="Wingdings" w:hAnsi="Wingdings" w:hint="default"/>
      </w:rPr>
    </w:lvl>
    <w:lvl w:ilvl="6" w:tplc="08090001" w:tentative="1">
      <w:start w:val="1"/>
      <w:numFmt w:val="bullet"/>
      <w:lvlText w:val=""/>
      <w:lvlJc w:val="left"/>
      <w:pPr>
        <w:ind w:left="5882" w:hanging="360"/>
      </w:pPr>
      <w:rPr>
        <w:rFonts w:ascii="Symbol" w:hAnsi="Symbol" w:hint="default"/>
      </w:rPr>
    </w:lvl>
    <w:lvl w:ilvl="7" w:tplc="08090003" w:tentative="1">
      <w:start w:val="1"/>
      <w:numFmt w:val="bullet"/>
      <w:lvlText w:val="o"/>
      <w:lvlJc w:val="left"/>
      <w:pPr>
        <w:ind w:left="6602" w:hanging="360"/>
      </w:pPr>
      <w:rPr>
        <w:rFonts w:ascii="Courier New" w:hAnsi="Courier New" w:cs="Courier New" w:hint="default"/>
      </w:rPr>
    </w:lvl>
    <w:lvl w:ilvl="8" w:tplc="08090005" w:tentative="1">
      <w:start w:val="1"/>
      <w:numFmt w:val="bullet"/>
      <w:lvlText w:val=""/>
      <w:lvlJc w:val="left"/>
      <w:pPr>
        <w:ind w:left="7322" w:hanging="360"/>
      </w:pPr>
      <w:rPr>
        <w:rFonts w:ascii="Wingdings" w:hAnsi="Wingdings" w:hint="default"/>
      </w:rPr>
    </w:lvl>
  </w:abstractNum>
  <w:abstractNum w:abstractNumId="37" w15:restartNumberingAfterBreak="0">
    <w:nsid w:val="7C65145E"/>
    <w:multiLevelType w:val="multilevel"/>
    <w:tmpl w:val="A5DA1C3C"/>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5682"/>
        </w:tabs>
        <w:ind w:left="5682"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7"/>
  </w:num>
  <w:num w:numId="2">
    <w:abstractNumId w:val="23"/>
  </w:num>
  <w:num w:numId="3">
    <w:abstractNumId w:val="19"/>
  </w:num>
  <w:num w:numId="4">
    <w:abstractNumId w:val="14"/>
  </w:num>
  <w:num w:numId="5">
    <w:abstractNumId w:val="8"/>
  </w:num>
  <w:num w:numId="6">
    <w:abstractNumId w:val="6"/>
  </w:num>
  <w:num w:numId="7">
    <w:abstractNumId w:val="30"/>
  </w:num>
  <w:num w:numId="8">
    <w:abstractNumId w:val="18"/>
  </w:num>
  <w:num w:numId="9">
    <w:abstractNumId w:val="11"/>
  </w:num>
  <w:num w:numId="10">
    <w:abstractNumId w:val="17"/>
  </w:num>
  <w:num w:numId="11">
    <w:abstractNumId w:val="3"/>
  </w:num>
  <w:num w:numId="12">
    <w:abstractNumId w:val="5"/>
  </w:num>
  <w:num w:numId="13">
    <w:abstractNumId w:val="24"/>
  </w:num>
  <w:num w:numId="14">
    <w:abstractNumId w:val="9"/>
  </w:num>
  <w:num w:numId="15">
    <w:abstractNumId w:val="4"/>
  </w:num>
  <w:num w:numId="16">
    <w:abstractNumId w:val="35"/>
  </w:num>
  <w:num w:numId="17">
    <w:abstractNumId w:val="15"/>
  </w:num>
  <w:num w:numId="18">
    <w:abstractNumId w:val="1"/>
  </w:num>
  <w:num w:numId="19">
    <w:abstractNumId w:val="32"/>
  </w:num>
  <w:num w:numId="20">
    <w:abstractNumId w:val="33"/>
  </w:num>
  <w:num w:numId="21">
    <w:abstractNumId w:val="27"/>
  </w:num>
  <w:num w:numId="22">
    <w:abstractNumId w:val="20"/>
  </w:num>
  <w:num w:numId="23">
    <w:abstractNumId w:val="28"/>
  </w:num>
  <w:num w:numId="24">
    <w:abstractNumId w:val="10"/>
  </w:num>
  <w:num w:numId="25">
    <w:abstractNumId w:val="36"/>
  </w:num>
  <w:num w:numId="26">
    <w:abstractNumId w:val="0"/>
  </w:num>
  <w:num w:numId="27">
    <w:abstractNumId w:val="25"/>
  </w:num>
  <w:num w:numId="28">
    <w:abstractNumId w:val="22"/>
  </w:num>
  <w:num w:numId="29">
    <w:abstractNumId w:val="2"/>
  </w:num>
  <w:num w:numId="30">
    <w:abstractNumId w:val="13"/>
  </w:num>
  <w:num w:numId="31">
    <w:abstractNumId w:val="12"/>
  </w:num>
  <w:num w:numId="32">
    <w:abstractNumId w:val="29"/>
  </w:num>
  <w:num w:numId="33">
    <w:abstractNumId w:val="26"/>
  </w:num>
  <w:num w:numId="34">
    <w:abstractNumId w:val="37"/>
  </w:num>
  <w:num w:numId="35">
    <w:abstractNumId w:val="37"/>
  </w:num>
  <w:num w:numId="36">
    <w:abstractNumId w:val="16"/>
  </w:num>
  <w:num w:numId="37">
    <w:abstractNumId w:val="31"/>
  </w:num>
  <w:num w:numId="38">
    <w:abstractNumId w:val="21"/>
  </w:num>
  <w:num w:numId="39">
    <w:abstractNumId w:val="7"/>
  </w:num>
  <w:num w:numId="40">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ttachedTemplate r:id="rId1"/>
  <w:defaultTabStop w:val="720"/>
  <w:hyphenationZone w:val="425"/>
  <w:evenAndOddHeaders/>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891DA0"/>
    <w:rsid w:val="0000162A"/>
    <w:rsid w:val="00025EF0"/>
    <w:rsid w:val="000454BE"/>
    <w:rsid w:val="00050B65"/>
    <w:rsid w:val="00067C4B"/>
    <w:rsid w:val="00087EF1"/>
    <w:rsid w:val="00093A91"/>
    <w:rsid w:val="000968C0"/>
    <w:rsid w:val="000B2A6F"/>
    <w:rsid w:val="000B365E"/>
    <w:rsid w:val="000B5F40"/>
    <w:rsid w:val="000C143C"/>
    <w:rsid w:val="000C34CE"/>
    <w:rsid w:val="000E2D1D"/>
    <w:rsid w:val="000E50FE"/>
    <w:rsid w:val="00112714"/>
    <w:rsid w:val="00122515"/>
    <w:rsid w:val="00142441"/>
    <w:rsid w:val="00142C9E"/>
    <w:rsid w:val="00146892"/>
    <w:rsid w:val="00155708"/>
    <w:rsid w:val="0017089B"/>
    <w:rsid w:val="00183C08"/>
    <w:rsid w:val="00184CBD"/>
    <w:rsid w:val="00194194"/>
    <w:rsid w:val="001A0F5D"/>
    <w:rsid w:val="001A3931"/>
    <w:rsid w:val="001C227E"/>
    <w:rsid w:val="001C5838"/>
    <w:rsid w:val="001E4ABE"/>
    <w:rsid w:val="001E4F94"/>
    <w:rsid w:val="002006AC"/>
    <w:rsid w:val="00216213"/>
    <w:rsid w:val="002337B1"/>
    <w:rsid w:val="00235C55"/>
    <w:rsid w:val="00285D98"/>
    <w:rsid w:val="00291442"/>
    <w:rsid w:val="0029271B"/>
    <w:rsid w:val="002A02A7"/>
    <w:rsid w:val="002A478E"/>
    <w:rsid w:val="002C4505"/>
    <w:rsid w:val="002C7A52"/>
    <w:rsid w:val="002F0E51"/>
    <w:rsid w:val="002F7B5F"/>
    <w:rsid w:val="00322A0C"/>
    <w:rsid w:val="00326F59"/>
    <w:rsid w:val="00350335"/>
    <w:rsid w:val="00360B5A"/>
    <w:rsid w:val="00365A8A"/>
    <w:rsid w:val="00370FE6"/>
    <w:rsid w:val="00387835"/>
    <w:rsid w:val="00393DFD"/>
    <w:rsid w:val="003A1AB4"/>
    <w:rsid w:val="003B537E"/>
    <w:rsid w:val="003E19FA"/>
    <w:rsid w:val="003E5AE4"/>
    <w:rsid w:val="003F547F"/>
    <w:rsid w:val="003F7777"/>
    <w:rsid w:val="00402571"/>
    <w:rsid w:val="00405995"/>
    <w:rsid w:val="00406A04"/>
    <w:rsid w:val="004403C6"/>
    <w:rsid w:val="004709E0"/>
    <w:rsid w:val="00476FCF"/>
    <w:rsid w:val="00480C24"/>
    <w:rsid w:val="004B6EFC"/>
    <w:rsid w:val="004E74C0"/>
    <w:rsid w:val="005225CF"/>
    <w:rsid w:val="00543FCF"/>
    <w:rsid w:val="005521B6"/>
    <w:rsid w:val="00560A37"/>
    <w:rsid w:val="005A1D02"/>
    <w:rsid w:val="005A5380"/>
    <w:rsid w:val="00606FA3"/>
    <w:rsid w:val="00631615"/>
    <w:rsid w:val="006338CA"/>
    <w:rsid w:val="00647E4D"/>
    <w:rsid w:val="00653294"/>
    <w:rsid w:val="00661EBD"/>
    <w:rsid w:val="00663580"/>
    <w:rsid w:val="006714F1"/>
    <w:rsid w:val="0068459D"/>
    <w:rsid w:val="00692557"/>
    <w:rsid w:val="00696750"/>
    <w:rsid w:val="006A034E"/>
    <w:rsid w:val="006B1498"/>
    <w:rsid w:val="006B5A47"/>
    <w:rsid w:val="006B7D2C"/>
    <w:rsid w:val="006C1889"/>
    <w:rsid w:val="006C7BBE"/>
    <w:rsid w:val="006D17EC"/>
    <w:rsid w:val="006D54E9"/>
    <w:rsid w:val="006E529E"/>
    <w:rsid w:val="007050F2"/>
    <w:rsid w:val="00731B97"/>
    <w:rsid w:val="00731D86"/>
    <w:rsid w:val="00734D83"/>
    <w:rsid w:val="007509B6"/>
    <w:rsid w:val="00751674"/>
    <w:rsid w:val="007574C3"/>
    <w:rsid w:val="00762C01"/>
    <w:rsid w:val="00762F33"/>
    <w:rsid w:val="00772140"/>
    <w:rsid w:val="007733BE"/>
    <w:rsid w:val="00775A3C"/>
    <w:rsid w:val="00777992"/>
    <w:rsid w:val="007A0BEB"/>
    <w:rsid w:val="007B7C15"/>
    <w:rsid w:val="007C20C1"/>
    <w:rsid w:val="007D26D5"/>
    <w:rsid w:val="007F0F41"/>
    <w:rsid w:val="00802B3B"/>
    <w:rsid w:val="00810CF6"/>
    <w:rsid w:val="00810DEF"/>
    <w:rsid w:val="008121B5"/>
    <w:rsid w:val="00830067"/>
    <w:rsid w:val="00867B00"/>
    <w:rsid w:val="00891DA0"/>
    <w:rsid w:val="008B4903"/>
    <w:rsid w:val="008B7540"/>
    <w:rsid w:val="008D43E9"/>
    <w:rsid w:val="008F0909"/>
    <w:rsid w:val="008F4300"/>
    <w:rsid w:val="008F4FA1"/>
    <w:rsid w:val="008F5A85"/>
    <w:rsid w:val="00903940"/>
    <w:rsid w:val="00906499"/>
    <w:rsid w:val="00915991"/>
    <w:rsid w:val="009466EB"/>
    <w:rsid w:val="009507EF"/>
    <w:rsid w:val="00952123"/>
    <w:rsid w:val="00953D37"/>
    <w:rsid w:val="00965668"/>
    <w:rsid w:val="009774C2"/>
    <w:rsid w:val="00980217"/>
    <w:rsid w:val="00985A46"/>
    <w:rsid w:val="00986D67"/>
    <w:rsid w:val="009A2CDD"/>
    <w:rsid w:val="009B3E6E"/>
    <w:rsid w:val="009B5B78"/>
    <w:rsid w:val="009C2AEC"/>
    <w:rsid w:val="009C7D06"/>
    <w:rsid w:val="009E3FEB"/>
    <w:rsid w:val="009E5DDA"/>
    <w:rsid w:val="00A17CCB"/>
    <w:rsid w:val="00A24890"/>
    <w:rsid w:val="00A40844"/>
    <w:rsid w:val="00A449ED"/>
    <w:rsid w:val="00A50D00"/>
    <w:rsid w:val="00A52660"/>
    <w:rsid w:val="00A823AF"/>
    <w:rsid w:val="00A96C16"/>
    <w:rsid w:val="00AA2D7A"/>
    <w:rsid w:val="00AC152A"/>
    <w:rsid w:val="00AD45C9"/>
    <w:rsid w:val="00AD71FE"/>
    <w:rsid w:val="00AF7962"/>
    <w:rsid w:val="00B01819"/>
    <w:rsid w:val="00B02BEA"/>
    <w:rsid w:val="00B156E2"/>
    <w:rsid w:val="00B557A2"/>
    <w:rsid w:val="00B63374"/>
    <w:rsid w:val="00B653A8"/>
    <w:rsid w:val="00B71E0C"/>
    <w:rsid w:val="00B7428E"/>
    <w:rsid w:val="00B83359"/>
    <w:rsid w:val="00BB3B59"/>
    <w:rsid w:val="00BB6650"/>
    <w:rsid w:val="00BE1E81"/>
    <w:rsid w:val="00BE2236"/>
    <w:rsid w:val="00C012FA"/>
    <w:rsid w:val="00C04112"/>
    <w:rsid w:val="00C06FE0"/>
    <w:rsid w:val="00C12DA7"/>
    <w:rsid w:val="00C14B1E"/>
    <w:rsid w:val="00C153DD"/>
    <w:rsid w:val="00C218E1"/>
    <w:rsid w:val="00C77061"/>
    <w:rsid w:val="00C803A5"/>
    <w:rsid w:val="00C97AE7"/>
    <w:rsid w:val="00CC4C42"/>
    <w:rsid w:val="00CE7753"/>
    <w:rsid w:val="00CF1F8F"/>
    <w:rsid w:val="00D02876"/>
    <w:rsid w:val="00D03E64"/>
    <w:rsid w:val="00D21221"/>
    <w:rsid w:val="00D2372D"/>
    <w:rsid w:val="00D27411"/>
    <w:rsid w:val="00D27B1A"/>
    <w:rsid w:val="00D34AFA"/>
    <w:rsid w:val="00D40AF8"/>
    <w:rsid w:val="00D7419A"/>
    <w:rsid w:val="00D87A21"/>
    <w:rsid w:val="00DA5724"/>
    <w:rsid w:val="00DD48B1"/>
    <w:rsid w:val="00DF259C"/>
    <w:rsid w:val="00E21EF7"/>
    <w:rsid w:val="00E301CE"/>
    <w:rsid w:val="00E30208"/>
    <w:rsid w:val="00E3407F"/>
    <w:rsid w:val="00E41030"/>
    <w:rsid w:val="00E45CA1"/>
    <w:rsid w:val="00E66295"/>
    <w:rsid w:val="00E7430B"/>
    <w:rsid w:val="00E871F6"/>
    <w:rsid w:val="00E93F29"/>
    <w:rsid w:val="00EC6288"/>
    <w:rsid w:val="00ED0D44"/>
    <w:rsid w:val="00EE4C53"/>
    <w:rsid w:val="00F00005"/>
    <w:rsid w:val="00F01B25"/>
    <w:rsid w:val="00F16E4F"/>
    <w:rsid w:val="00F2561D"/>
    <w:rsid w:val="00F3127A"/>
    <w:rsid w:val="00F32C57"/>
    <w:rsid w:val="00F3382E"/>
    <w:rsid w:val="00F5042D"/>
    <w:rsid w:val="00F64625"/>
    <w:rsid w:val="00F6521E"/>
    <w:rsid w:val="00F73281"/>
    <w:rsid w:val="00FA3CF6"/>
    <w:rsid w:val="00FC36CB"/>
    <w:rsid w:val="00FC5AE3"/>
    <w:rsid w:val="00FD599E"/>
    <w:rsid w:val="00FE2890"/>
    <w:rsid w:val="00FF1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A809"/>
  <w15:docId w15:val="{F0D0EEA2-9EC8-4038-8560-C9FAE9E6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ne-NP"/>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D8C"/>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rsid w:val="00122515"/>
    <w:pPr>
      <w:keepNext/>
      <w:numPr>
        <w:ilvl w:val="1"/>
        <w:numId w:val="1"/>
      </w:numPr>
      <w:tabs>
        <w:tab w:val="clear" w:pos="5682"/>
      </w:tabs>
      <w:ind w:left="426" w:hanging="426"/>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unhideWhenUsed/>
    <w:pPr>
      <w:tabs>
        <w:tab w:val="num" w:pos="0"/>
      </w:tabs>
      <w:spacing w:before="240" w:after="60"/>
      <w:outlineLvl w:val="4"/>
    </w:pPr>
    <w:rPr>
      <w:rFonts w:ascii="Arial" w:hAnsi="Arial"/>
      <w:sz w:val="22"/>
    </w:rPr>
  </w:style>
  <w:style w:type="paragraph" w:styleId="Heading6">
    <w:name w:val="heading 6"/>
    <w:basedOn w:val="Normal"/>
    <w:next w:val="Normal"/>
    <w:unhideWhenUsed/>
    <w:pPr>
      <w:tabs>
        <w:tab w:val="num" w:pos="0"/>
      </w:tabs>
      <w:spacing w:before="240" w:after="60"/>
      <w:outlineLvl w:val="5"/>
    </w:pPr>
    <w:rPr>
      <w:rFonts w:ascii="Arial" w:hAnsi="Arial"/>
      <w:i/>
      <w:sz w:val="22"/>
    </w:rPr>
  </w:style>
  <w:style w:type="paragraph" w:styleId="Heading7">
    <w:name w:val="heading 7"/>
    <w:basedOn w:val="Normal"/>
    <w:next w:val="Normal"/>
    <w:unhideWhenUsed/>
    <w:pPr>
      <w:tabs>
        <w:tab w:val="num" w:pos="0"/>
      </w:tabs>
      <w:spacing w:before="240" w:after="60"/>
      <w:outlineLvl w:val="6"/>
    </w:pPr>
    <w:rPr>
      <w:rFonts w:ascii="Arial" w:hAnsi="Arial"/>
      <w:sz w:val="20"/>
    </w:rPr>
  </w:style>
  <w:style w:type="paragraph" w:styleId="Heading8">
    <w:name w:val="heading 8"/>
    <w:basedOn w:val="Normal"/>
    <w:next w:val="Normal"/>
    <w:unhideWhenUsed/>
    <w:pPr>
      <w:tabs>
        <w:tab w:val="num" w:pos="0"/>
      </w:tabs>
      <w:spacing w:before="240" w:after="60"/>
      <w:outlineLvl w:val="7"/>
    </w:pPr>
    <w:rPr>
      <w:rFonts w:ascii="Arial" w:hAnsi="Arial"/>
      <w:i/>
      <w:sz w:val="20"/>
    </w:rPr>
  </w:style>
  <w:style w:type="paragraph" w:styleId="Heading9">
    <w:name w:val="heading 9"/>
    <w:basedOn w:val="Normal"/>
    <w:next w:val="Normal"/>
    <w:unhideWhenUsed/>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Yellow Bullet,Normal bullet 2,Bullet list,Numbered List,Paragraph,Citation List,List Paragraph (numbered (a)),List Paragraph1,Heading 2_sj,Paragraphe de liste PBLH,Figure_name,Equipment,Numbered Indented Text,lp1,List Paragraph11,Dot pt"/>
    <w:basedOn w:val="Normal"/>
    <w:link w:val="ListParagraphChar"/>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Char,Carattere,ft"/>
    <w:basedOn w:val="Normal"/>
    <w:link w:val="FootnoteTextChar"/>
    <w:qFormat/>
    <w:pPr>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rsid w:val="003B5D8C"/>
    <w:pPr>
      <w:keepNext/>
      <w:spacing w:before="240"/>
      <w:jc w:val="center"/>
    </w:pPr>
    <w:rPr>
      <w:b/>
      <w:caps/>
    </w:rPr>
  </w:style>
  <w:style w:type="paragraph" w:customStyle="1" w:styleId="Contact">
    <w:name w:val="Contact"/>
    <w:basedOn w:val="Normal"/>
    <w:rsid w:val="001104A6"/>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en-GB"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rsid w:val="00543DE0"/>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rsid w:val="00543DE0"/>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rsid w:val="00543DE0"/>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rsid w:val="006D2E3F"/>
    <w:pPr>
      <w:spacing w:before="240"/>
      <w:contextualSpacing/>
      <w:jc w:val="center"/>
    </w:pPr>
    <w:rPr>
      <w:rFonts w:ascii="Times New Roman Bold" w:hAnsi="Times New Roman Bold"/>
      <w:b/>
      <w:caps/>
      <w:szCs w:val="22"/>
    </w:rPr>
  </w:style>
  <w:style w:type="paragraph" w:styleId="ListBullet5">
    <w:name w:val="List Bullet 5"/>
    <w:basedOn w:val="Normal"/>
    <w:autoRedefine/>
    <w:rsid w:val="00087EF1"/>
    <w:pPr>
      <w:numPr>
        <w:numId w:val="18"/>
      </w:numPr>
    </w:pPr>
    <w:rPr>
      <w:lang w:eastAsia="en-US"/>
    </w:rPr>
  </w:style>
  <w:style w:type="paragraph" w:customStyle="1" w:styleId="Bullet1">
    <w:name w:val="Bullet 1"/>
    <w:basedOn w:val="Normal"/>
    <w:rsid w:val="00087EF1"/>
    <w:pPr>
      <w:numPr>
        <w:numId w:val="19"/>
      </w:numPr>
      <w:spacing w:before="120" w:after="120"/>
    </w:pPr>
    <w:rPr>
      <w:rFonts w:eastAsiaTheme="minorHAnsi"/>
      <w:szCs w:val="22"/>
      <w:lang w:eastAsia="en-US"/>
    </w:rPr>
  </w:style>
  <w:style w:type="paragraph" w:customStyle="1" w:styleId="Bullet2">
    <w:name w:val="Bullet 2"/>
    <w:basedOn w:val="Normal"/>
    <w:rsid w:val="00087EF1"/>
    <w:pPr>
      <w:numPr>
        <w:numId w:val="20"/>
      </w:numPr>
      <w:spacing w:before="120" w:after="120"/>
    </w:pPr>
    <w:rPr>
      <w:rFonts w:eastAsiaTheme="minorHAnsi"/>
      <w:szCs w:val="22"/>
      <w:lang w:eastAsia="en-US"/>
    </w:rPr>
  </w:style>
  <w:style w:type="character" w:styleId="Hyperlink">
    <w:name w:val="Hyperlink"/>
    <w:uiPriority w:val="99"/>
    <w:unhideWhenUsed/>
    <w:rsid w:val="00087EF1"/>
    <w:rPr>
      <w:color w:val="0000FF"/>
      <w:u w:val="single"/>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R,ftref,16 P"/>
    <w:basedOn w:val="DefaultParagraphFont"/>
    <w:uiPriority w:val="99"/>
    <w:unhideWhenUsed/>
    <w:qFormat/>
    <w:rsid w:val="00087EF1"/>
    <w:rPr>
      <w:vertAlign w:val="superscript"/>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rsid w:val="00087EF1"/>
    <w:rPr>
      <w:lang w:bidi="ar-SA"/>
    </w:rPr>
  </w:style>
  <w:style w:type="paragraph" w:styleId="BalloonText">
    <w:name w:val="Balloon Text"/>
    <w:basedOn w:val="Normal"/>
    <w:link w:val="BalloonTextChar"/>
    <w:uiPriority w:val="99"/>
    <w:semiHidden/>
    <w:unhideWhenUsed/>
    <w:rsid w:val="00772140"/>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087EF1"/>
    <w:rPr>
      <w:lang w:bidi="ar-SA"/>
    </w:rPr>
  </w:style>
  <w:style w:type="character" w:customStyle="1" w:styleId="BalloonTextChar">
    <w:name w:val="Balloon Text Char"/>
    <w:basedOn w:val="DefaultParagraphFont"/>
    <w:link w:val="BalloonText"/>
    <w:uiPriority w:val="99"/>
    <w:semiHidden/>
    <w:rsid w:val="00772140"/>
    <w:rPr>
      <w:rFonts w:ascii="Segoe UI" w:hAnsi="Segoe UI" w:cs="Segoe UI"/>
      <w:sz w:val="18"/>
      <w:szCs w:val="18"/>
      <w:lang w:bidi="ar-SA"/>
    </w:rPr>
  </w:style>
  <w:style w:type="character" w:customStyle="1" w:styleId="ListParagraphChar">
    <w:name w:val="List Paragraph Char"/>
    <w:aliases w:val="Yellow Bullet Char,Normal bullet 2 Char,Bullet list Char,Numbered List Char,Paragraph Char,Citation List Char,List Paragraph (numbered (a)) Char,List Paragraph1 Char,Heading 2_sj Char,Paragraphe de liste PBLH Char,Figure_name Char"/>
    <w:basedOn w:val="DefaultParagraphFont"/>
    <w:link w:val="ListParagraph"/>
    <w:uiPriority w:val="34"/>
    <w:qFormat/>
    <w:rsid w:val="00E30208"/>
    <w:rPr>
      <w:sz w:val="24"/>
      <w:lang w:bidi="ar-SA"/>
    </w:rPr>
  </w:style>
  <w:style w:type="paragraph" w:customStyle="1" w:styleId="Text10">
    <w:name w:val="Text1"/>
    <w:basedOn w:val="SubTitle1"/>
    <w:rsid w:val="007D26D5"/>
  </w:style>
  <w:style w:type="character" w:styleId="CommentReference">
    <w:name w:val="annotation reference"/>
    <w:basedOn w:val="DefaultParagraphFont"/>
    <w:uiPriority w:val="99"/>
    <w:semiHidden/>
    <w:unhideWhenUsed/>
    <w:rsid w:val="00696750"/>
    <w:rPr>
      <w:sz w:val="16"/>
      <w:szCs w:val="16"/>
    </w:rPr>
  </w:style>
  <w:style w:type="paragraph" w:styleId="CommentSubject">
    <w:name w:val="annotation subject"/>
    <w:basedOn w:val="CommentText"/>
    <w:next w:val="CommentText"/>
    <w:link w:val="CommentSubjectChar"/>
    <w:uiPriority w:val="99"/>
    <w:semiHidden/>
    <w:unhideWhenUsed/>
    <w:rsid w:val="00696750"/>
    <w:rPr>
      <w:b/>
      <w:bCs/>
    </w:rPr>
  </w:style>
  <w:style w:type="character" w:customStyle="1" w:styleId="CommentSubjectChar">
    <w:name w:val="Comment Subject Char"/>
    <w:basedOn w:val="CommentTextChar"/>
    <w:link w:val="CommentSubject"/>
    <w:uiPriority w:val="99"/>
    <w:semiHidden/>
    <w:rsid w:val="00696750"/>
    <w:rPr>
      <w:b/>
      <w:bCs/>
      <w:lang w:bidi="ar-SA"/>
    </w:rPr>
  </w:style>
  <w:style w:type="paragraph" w:customStyle="1" w:styleId="Default">
    <w:name w:val="Default"/>
    <w:rsid w:val="00326F59"/>
    <w:pPr>
      <w:autoSpaceDE w:val="0"/>
      <w:autoSpaceDN w:val="0"/>
      <w:adjustRightInd w:val="0"/>
    </w:pPr>
    <w:rPr>
      <w:color w:val="000000"/>
      <w:sz w:val="24"/>
      <w:szCs w:val="24"/>
      <w:lang w:val="fr-BE" w:bidi="ar-SA"/>
    </w:rPr>
  </w:style>
  <w:style w:type="character" w:styleId="FollowedHyperlink">
    <w:name w:val="FollowedHyperlink"/>
    <w:basedOn w:val="DefaultParagraphFont"/>
    <w:uiPriority w:val="99"/>
    <w:semiHidden/>
    <w:unhideWhenUsed/>
    <w:rsid w:val="007516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200536">
      <w:bodyDiv w:val="1"/>
      <w:marLeft w:val="0"/>
      <w:marRight w:val="0"/>
      <w:marTop w:val="0"/>
      <w:marBottom w:val="0"/>
      <w:divBdr>
        <w:top w:val="none" w:sz="0" w:space="0" w:color="auto"/>
        <w:left w:val="none" w:sz="0" w:space="0" w:color="auto"/>
        <w:bottom w:val="none" w:sz="0" w:space="0" w:color="auto"/>
        <w:right w:val="none" w:sz="0" w:space="0" w:color="auto"/>
      </w:divBdr>
      <w:divsChild>
        <w:div w:id="979308988">
          <w:marLeft w:val="547"/>
          <w:marRight w:val="0"/>
          <w:marTop w:val="86"/>
          <w:marBottom w:val="0"/>
          <w:divBdr>
            <w:top w:val="none" w:sz="0" w:space="0" w:color="auto"/>
            <w:left w:val="none" w:sz="0" w:space="0" w:color="auto"/>
            <w:bottom w:val="none" w:sz="0" w:space="0" w:color="auto"/>
            <w:right w:val="none" w:sz="0" w:space="0" w:color="auto"/>
          </w:divBdr>
        </w:div>
        <w:div w:id="1586956306">
          <w:marLeft w:val="1166"/>
          <w:marRight w:val="0"/>
          <w:marTop w:val="86"/>
          <w:marBottom w:val="0"/>
          <w:divBdr>
            <w:top w:val="none" w:sz="0" w:space="0" w:color="auto"/>
            <w:left w:val="none" w:sz="0" w:space="0" w:color="auto"/>
            <w:bottom w:val="none" w:sz="0" w:space="0" w:color="auto"/>
            <w:right w:val="none" w:sz="0" w:space="0" w:color="auto"/>
          </w:divBdr>
        </w:div>
        <w:div w:id="1579632818">
          <w:marLeft w:val="1166"/>
          <w:marRight w:val="0"/>
          <w:marTop w:val="86"/>
          <w:marBottom w:val="0"/>
          <w:divBdr>
            <w:top w:val="none" w:sz="0" w:space="0" w:color="auto"/>
            <w:left w:val="none" w:sz="0" w:space="0" w:color="auto"/>
            <w:bottom w:val="none" w:sz="0" w:space="0" w:color="auto"/>
            <w:right w:val="none" w:sz="0" w:space="0" w:color="auto"/>
          </w:divBdr>
        </w:div>
        <w:div w:id="1008026443">
          <w:marLeft w:val="1166"/>
          <w:marRight w:val="0"/>
          <w:marTop w:val="86"/>
          <w:marBottom w:val="0"/>
          <w:divBdr>
            <w:top w:val="none" w:sz="0" w:space="0" w:color="auto"/>
            <w:left w:val="none" w:sz="0" w:space="0" w:color="auto"/>
            <w:bottom w:val="none" w:sz="0" w:space="0" w:color="auto"/>
            <w:right w:val="none" w:sz="0" w:space="0" w:color="auto"/>
          </w:divBdr>
        </w:div>
        <w:div w:id="1496073168">
          <w:marLeft w:val="547"/>
          <w:marRight w:val="0"/>
          <w:marTop w:val="86"/>
          <w:marBottom w:val="0"/>
          <w:divBdr>
            <w:top w:val="none" w:sz="0" w:space="0" w:color="auto"/>
            <w:left w:val="none" w:sz="0" w:space="0" w:color="auto"/>
            <w:bottom w:val="none" w:sz="0" w:space="0" w:color="auto"/>
            <w:right w:val="none" w:sz="0" w:space="0" w:color="auto"/>
          </w:divBdr>
        </w:div>
        <w:div w:id="2143963144">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vironment/eussd/smgp/pdf/2017_EY_finalrep_verification_public.pdf" TargetMode="External"/><Relationship Id="rId13" Type="http://schemas.openxmlformats.org/officeDocument/2006/relationships/hyperlink" Target="https://ec.europa.eu/environment/eussd/smgp/pdf/2019_EF_commtest_report.pdf" TargetMode="External"/><Relationship Id="rId3" Type="http://schemas.openxmlformats.org/officeDocument/2006/relationships/hyperlink" Target="http://ec.europa.eu/environment/eussd/pdf/Deliverable.pdf" TargetMode="External"/><Relationship Id="rId7" Type="http://schemas.openxmlformats.org/officeDocument/2006/relationships/hyperlink" Target="http://ec.europa.eu/environment/eussd/smgp/pdf/2017_peer_rev_finrep.pdf" TargetMode="External"/><Relationship Id="rId12" Type="http://schemas.openxmlformats.org/officeDocument/2006/relationships/hyperlink" Target="https://ec.europa.eu/environment/eussd/smgp/pdf/EF_stakeholdercons19.pdf" TargetMode="External"/><Relationship Id="rId2" Type="http://schemas.openxmlformats.org/officeDocument/2006/relationships/hyperlink" Target="http://ec.europa.eu/environment/eussd/pdf/Deliverable.pdf" TargetMode="External"/><Relationship Id="rId1" Type="http://schemas.openxmlformats.org/officeDocument/2006/relationships/hyperlink" Target="http://eur-lex.europa.eu/legal-content/EN/TXT/?uri=CELEX:32013H0179" TargetMode="External"/><Relationship Id="rId6" Type="http://schemas.openxmlformats.org/officeDocument/2006/relationships/hyperlink" Target="https://eplca.jrc.ec.europa.eu//EnvironmentalFootprint.html" TargetMode="External"/><Relationship Id="rId11" Type="http://schemas.openxmlformats.org/officeDocument/2006/relationships/hyperlink" Target="https://ec.europa.eu/environment/eussd/smgp/ef_transition.htm" TargetMode="External"/><Relationship Id="rId5" Type="http://schemas.openxmlformats.org/officeDocument/2006/relationships/hyperlink" Target="https://eplca.jrc.ec.europa.eu/permalink/PEF_method.pdf" TargetMode="External"/><Relationship Id="rId10" Type="http://schemas.openxmlformats.org/officeDocument/2006/relationships/hyperlink" Target="http://ec.europa.eu/environment/eussd/smgp/pdf/2018_pilotphase_commreport.pdf" TargetMode="External"/><Relationship Id="rId4" Type="http://schemas.openxmlformats.org/officeDocument/2006/relationships/hyperlink" Target="http://ec.europa.eu/environment/eussd/smgp/PEFCR_OEFSR_en.htm" TargetMode="External"/><Relationship Id="rId9" Type="http://schemas.openxmlformats.org/officeDocument/2006/relationships/hyperlink" Target="http://ec.europa.eu/environment/eussd/smgp/pdf/HD_pilot_eval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3256ED383734F52B282817A28CF05A0"/>
        <w:category>
          <w:name w:val="General"/>
          <w:gallery w:val="placeholder"/>
        </w:category>
        <w:types>
          <w:type w:val="bbPlcHdr"/>
        </w:types>
        <w:behaviors>
          <w:behavior w:val="content"/>
        </w:behaviors>
        <w:guid w:val="{DED4BC42-093B-4CD8-8B47-09E791B714F0}"/>
      </w:docPartPr>
      <w:docPartBody>
        <w:p w:rsidR="004B2EAF" w:rsidRDefault="00BE1301" w:rsidP="00BE1301">
          <w:pPr>
            <w:pStyle w:val="93256ED383734F52B282817A28CF05A0"/>
          </w:pPr>
          <w:r>
            <w:rPr>
              <w:rStyle w:val="PlaceholderText"/>
            </w:rPr>
            <w:t>Type the document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B0604020202020204"/>
    <w:charset w:val="00"/>
    <w:family w:val="roman"/>
    <w:notTrueType/>
    <w:pitch w:val="default"/>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AF0"/>
    <w:rsid w:val="00000AF0"/>
    <w:rsid w:val="000731EF"/>
    <w:rsid w:val="00480DD8"/>
    <w:rsid w:val="004B2EAF"/>
    <w:rsid w:val="0055483E"/>
    <w:rsid w:val="009677DA"/>
    <w:rsid w:val="00AD68A4"/>
    <w:rsid w:val="00BE1301"/>
    <w:rsid w:val="00F66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301"/>
    <w:rPr>
      <w:color w:val="2B8F6C"/>
    </w:rPr>
  </w:style>
  <w:style w:type="paragraph" w:customStyle="1" w:styleId="65E6118198C1478696F6FCCEDBED871D">
    <w:name w:val="65E6118198C1478696F6FCCEDBED871D"/>
  </w:style>
  <w:style w:type="paragraph" w:customStyle="1" w:styleId="79332E20828D4E649FB3FA608F6B16DC">
    <w:name w:val="79332E20828D4E649FB3FA608F6B16DC"/>
  </w:style>
  <w:style w:type="character" w:customStyle="1" w:styleId="BodyPlaceholderText">
    <w:name w:val="BodyPlaceholderText"/>
    <w:basedOn w:val="PlaceholderText"/>
    <w:uiPriority w:val="1"/>
    <w:semiHidden/>
    <w:rPr>
      <w:color w:val="3366CC"/>
    </w:rPr>
  </w:style>
  <w:style w:type="paragraph" w:customStyle="1" w:styleId="F46CEE2983E94730A507F9921E06ED17">
    <w:name w:val="F46CEE2983E94730A507F9921E06ED17"/>
  </w:style>
  <w:style w:type="paragraph" w:customStyle="1" w:styleId="93256ED383734F52B282817A28CF05A0">
    <w:name w:val="93256ED383734F52B282817A28CF05A0"/>
    <w:rsid w:val="00BE1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EurolookProperties>
  <ProductCustomizationId/>
  <Created>
    <Version>10.0.36920.0</Version>
    <Date>2018-02-22T12:57:22</Date>
    <Language>EN</Language>
  </Created>
  <Edited>
    <Version>10.0.40769.0</Version>
    <Date>2020-07-29T17:13:31</Date>
  </Edited>
  <DocumentModel>
    <Id>6cbda13a-4db2-46c6-876a-ef72275827ef</Id>
    <Name>Report</Name>
  </DocumentModel>
  <DocumentDate>2018-02-22T12:57:22</DocumentDate>
  <DocumentVersion>0.1</DocumentVersion>
  <CompatibilityMode>Eurolook10</CompatibilityMode>
  <Address/>
</EurolookProperties>
</file>

<file path=customXml/item3.xml><?xml version="1.0" encoding="utf-8"?>
<Author Role="Creator">
  <Id>76f195ad-c877-43d3-a7b7-68da47c2cb71</Id>
  <Names>
    <Latin>
      <FirstName>Imola</FirstName>
      <LastName>Bedő</LastName>
    </Latin>
    <Greek>
      <FirstName/>
      <LastName/>
    </Greek>
    <Cyrillic>
      <FirstName/>
      <LastName/>
    </Cyrillic>
    <DocumentScript>
      <FirstName>Imola</FirstName>
      <LastName>Bedő</LastName>
      <FullName>Imola Bedő</FullName>
    </DocumentScript>
  </Names>
  <Initials>IB</Initials>
  <Gender>f</Gender>
  <Email>Imola.BEDO@ec.europa.eu</Email>
  <Service>ENV.B.1</Service>
  <Function/>
  <WebAddress>http://ec.europa.eu/environment/eussd/smgp/index.htm</WebAddress>
  <InheritedWebAddress>http://ec.europa.eu/environment/eussd/smgp/index.htm</InheritedWebAddress>
  <OrgaEntity1>
    <Id>97cead3c-fd4c-47cd-8c1d-f49ace8dda92</Id>
    <LogicalLevel>1</LogicalLevel>
    <Name>ENV</Name>
    <HeadLine1>DIRECTORATE-GENERAL</HeadLine1>
    <HeadLine2>ENVIRONMENT</HeadLine2>
    <PrimaryAddressId>f03b5801-04c9-4931-aa17-c6d6c70bc579</PrimaryAddressId>
    <SecondaryAddressId/>
    <WebAddress/>
    <InheritedWebAddress>http://europa.eu</InheritedWebAddress>
    <ShowInHeader>true</ShowInHeader>
  </OrgaEntity1>
  <OrgaEntity2>
    <Id>c9fdbc18-fa45-4aa8-9a9d-eed24721c8e0</Id>
    <LogicalLevel>2</LogicalLevel>
    <Name>ENV.B</Name>
    <HeadLine1>Directorate B - Circular Economy &amp; Green Growth</HeadLine1>
    <HeadLine2/>
    <PrimaryAddressId>f03b5801-04c9-4931-aa17-c6d6c70bc579</PrimaryAddressId>
    <SecondaryAddressId/>
    <WebAddress/>
    <InheritedWebAddress>http://europa.eu</InheritedWebAddress>
    <ShowInHeader>true</ShowInHeader>
  </OrgaEntity2>
  <OrgaEntity3>
    <Id>30ab429c-111a-4add-9fdb-0460daae9653</Id>
    <LogicalLevel>3</LogicalLevel>
    <Name>ENV.B.1</Name>
    <HeadLine1>ENV.B.1 - Sustainable Production, Products &amp; Consumption</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+32 229 97809</Phone>
    <Office>BU-9 06/147</Office>
  </MainWorkplace>
  <Workplaces>
    <Workplace IsMain="false">
      <AddressId>1264fb81-f6bb-475e-9f9d-a937d3be6ee2</AddressId>
      <Fax/>
      <Phone/>
      <Office/>
    </Workplace>
    <Workplace IsMain="true">
      <AddressId>f03b5801-04c9-4931-aa17-c6d6c70bc579</AddressId>
      <Fax/>
      <Phone>+32 229 97809</Phone>
      <Office>BU-9 06/147</Office>
    </Workplace>
  </Workplaces>
</Author>
</file>

<file path=customXml/item4.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Props1.xml><?xml version="1.0" encoding="utf-8"?>
<ds:datastoreItem xmlns:ds="http://schemas.openxmlformats.org/officeDocument/2006/customXml" ds:itemID="{74AF5173-728D-4D4D-BDF2-71B5A9DF0B3D}">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0</TotalTime>
  <Pages>7</Pages>
  <Words>2158</Words>
  <Characters>12303</Characters>
  <Application>Microsoft Office Word</Application>
  <DocSecurity>0</DocSecurity>
  <PresentationFormat>Microsoft Word 14.0</PresentationFormat>
  <Lines>102</Lines>
  <Paragraphs>28</Paragraphs>
  <ScaleCrop>true</ScaleCrop>
  <HeadingPairs>
    <vt:vector size="2" baseType="variant">
      <vt:variant>
        <vt:lpstr>Title</vt:lpstr>
      </vt:variant>
      <vt:variant>
        <vt:i4>1</vt:i4>
      </vt:variant>
    </vt:vector>
  </HeadingPairs>
  <TitlesOfParts>
    <vt:vector size="1" baseType="lpstr">
      <vt:lpstr>Public consultation questionnaire on a potential legislative proposal on substantiating green claims
Background document</vt:lpstr>
    </vt:vector>
  </TitlesOfParts>
  <Company>European Commission</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questionnaire on a potential legislative proposal on substantiating green claims
Background document</dc:title>
  <dc:creator>BEDO Imola (ENV)</dc:creator>
  <cp:lastModifiedBy>Sara Palander</cp:lastModifiedBy>
  <cp:revision>2</cp:revision>
  <cp:lastPrinted>2018-11-05T12:32:00Z</cp:lastPrinted>
  <dcterms:created xsi:type="dcterms:W3CDTF">2020-09-08T08:26:00Z</dcterms:created>
  <dcterms:modified xsi:type="dcterms:W3CDTF">2020-09-08T08:26:00Z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